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FC4DE" w14:textId="77777777" w:rsidR="00B63ACA" w:rsidRDefault="00B63ACA" w:rsidP="00B63ACA">
      <w:pPr>
        <w:rPr>
          <w:lang w:val="nl-NL"/>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1"/>
        <w:gridCol w:w="285"/>
        <w:gridCol w:w="5353"/>
      </w:tblGrid>
      <w:tr w:rsidR="00B63ACA" w:rsidRPr="00F558F4" w14:paraId="19B92CAC" w14:textId="77777777" w:rsidTr="00933DD7">
        <w:trPr>
          <w:trHeight w:val="20"/>
        </w:trPr>
        <w:tc>
          <w:tcPr>
            <w:tcW w:w="5351" w:type="dxa"/>
            <w:shd w:val="clear" w:color="auto" w:fill="auto"/>
          </w:tcPr>
          <w:p w14:paraId="433068E4" w14:textId="2C7952E0" w:rsidR="00B63ACA" w:rsidRPr="00BB3269" w:rsidRDefault="004E5AD6" w:rsidP="00423605">
            <w:pPr>
              <w:jc w:val="both"/>
              <w:rPr>
                <w:rFonts w:cs="Arial"/>
                <w:b/>
                <w:bCs/>
                <w:sz w:val="22"/>
                <w:szCs w:val="22"/>
                <w:lang w:val="fr-BE"/>
              </w:rPr>
            </w:pPr>
            <w:r w:rsidRPr="00BB3269">
              <w:rPr>
                <w:rFonts w:cs="Arial"/>
                <w:b/>
                <w:bCs/>
                <w:color w:val="000000"/>
                <w:sz w:val="22"/>
                <w:szCs w:val="22"/>
                <w:lang w:val="fr-BE"/>
              </w:rPr>
              <w:t>Sous</w:t>
            </w:r>
            <w:r w:rsidR="006C4F25" w:rsidRPr="00BB3269">
              <w:rPr>
                <w:rFonts w:cs="Arial"/>
                <w:b/>
                <w:bCs/>
                <w:color w:val="000000"/>
                <w:sz w:val="22"/>
                <w:szCs w:val="22"/>
                <w:lang w:val="fr-BE"/>
              </w:rPr>
              <w:t>-</w:t>
            </w:r>
            <w:r w:rsidRPr="00BB3269">
              <w:rPr>
                <w:rFonts w:cs="Arial"/>
                <w:b/>
                <w:bCs/>
                <w:color w:val="000000"/>
                <w:sz w:val="22"/>
                <w:szCs w:val="22"/>
                <w:lang w:val="fr-BE"/>
              </w:rPr>
              <w:t>c</w:t>
            </w:r>
            <w:r w:rsidR="00B63ACA" w:rsidRPr="00BB3269">
              <w:rPr>
                <w:rFonts w:cs="Arial"/>
                <w:b/>
                <w:bCs/>
                <w:color w:val="000000"/>
                <w:sz w:val="22"/>
                <w:szCs w:val="22"/>
                <w:lang w:val="fr-BE"/>
              </w:rPr>
              <w:t xml:space="preserve">ommission </w:t>
            </w:r>
            <w:r w:rsidR="008636F0">
              <w:rPr>
                <w:rFonts w:cs="Arial"/>
                <w:b/>
                <w:bCs/>
                <w:color w:val="000000"/>
                <w:sz w:val="22"/>
                <w:szCs w:val="22"/>
                <w:lang w:val="fr-BE"/>
              </w:rPr>
              <w:t>p</w:t>
            </w:r>
            <w:r w:rsidR="00B63ACA" w:rsidRPr="00BB3269">
              <w:rPr>
                <w:rFonts w:cs="Arial"/>
                <w:b/>
                <w:bCs/>
                <w:color w:val="000000"/>
                <w:sz w:val="22"/>
                <w:szCs w:val="22"/>
                <w:lang w:val="fr-BE"/>
              </w:rPr>
              <w:t xml:space="preserve">aritaire </w:t>
            </w:r>
            <w:r w:rsidR="008636F0">
              <w:rPr>
                <w:rFonts w:cs="Arial"/>
                <w:b/>
                <w:bCs/>
                <w:color w:val="000000"/>
                <w:sz w:val="22"/>
                <w:szCs w:val="22"/>
                <w:lang w:val="fr-BE"/>
              </w:rPr>
              <w:t>pour le</w:t>
            </w:r>
            <w:r w:rsidR="00B63ACA" w:rsidRPr="00BB3269">
              <w:rPr>
                <w:rFonts w:cs="Arial"/>
                <w:b/>
                <w:bCs/>
                <w:color w:val="000000"/>
                <w:sz w:val="22"/>
                <w:szCs w:val="22"/>
                <w:lang w:val="fr-BE"/>
              </w:rPr>
              <w:t xml:space="preserve"> </w:t>
            </w:r>
            <w:r w:rsidR="008636F0">
              <w:rPr>
                <w:rFonts w:cs="Arial"/>
                <w:b/>
                <w:bCs/>
                <w:color w:val="000000"/>
                <w:sz w:val="22"/>
                <w:szCs w:val="22"/>
                <w:lang w:val="fr-BE"/>
              </w:rPr>
              <w:t>t</w:t>
            </w:r>
            <w:r w:rsidR="00B63ACA" w:rsidRPr="00BB3269">
              <w:rPr>
                <w:rFonts w:cs="Arial"/>
                <w:b/>
                <w:bCs/>
                <w:color w:val="000000"/>
                <w:sz w:val="22"/>
                <w:szCs w:val="22"/>
                <w:lang w:val="fr-BE"/>
              </w:rPr>
              <w:t>ransport</w:t>
            </w:r>
            <w:r w:rsidRPr="00BB3269">
              <w:rPr>
                <w:rFonts w:cs="Arial"/>
                <w:b/>
                <w:bCs/>
                <w:color w:val="000000"/>
                <w:sz w:val="22"/>
                <w:szCs w:val="22"/>
                <w:lang w:val="fr-BE"/>
              </w:rPr>
              <w:t xml:space="preserve"> routier</w:t>
            </w:r>
            <w:r w:rsidR="00B63ACA" w:rsidRPr="00BB3269">
              <w:rPr>
                <w:rFonts w:cs="Arial"/>
                <w:b/>
                <w:bCs/>
                <w:color w:val="000000"/>
                <w:sz w:val="22"/>
                <w:szCs w:val="22"/>
                <w:lang w:val="fr-BE"/>
              </w:rPr>
              <w:t xml:space="preserve"> et la </w:t>
            </w:r>
            <w:r w:rsidR="008636F0">
              <w:rPr>
                <w:rFonts w:cs="Arial"/>
                <w:b/>
                <w:bCs/>
                <w:color w:val="000000"/>
                <w:sz w:val="22"/>
                <w:szCs w:val="22"/>
                <w:lang w:val="fr-BE"/>
              </w:rPr>
              <w:t>l</w:t>
            </w:r>
            <w:r w:rsidR="00B63ACA" w:rsidRPr="00BB3269">
              <w:rPr>
                <w:rFonts w:cs="Arial"/>
                <w:b/>
                <w:bCs/>
                <w:color w:val="000000"/>
                <w:sz w:val="22"/>
                <w:szCs w:val="22"/>
                <w:lang w:val="fr-BE"/>
              </w:rPr>
              <w:t>ogis</w:t>
            </w:r>
            <w:r w:rsidR="00B63ACA" w:rsidRPr="00BB3269">
              <w:rPr>
                <w:rFonts w:cs="Arial"/>
                <w:b/>
                <w:bCs/>
                <w:sz w:val="22"/>
                <w:szCs w:val="22"/>
                <w:lang w:val="fr-BE"/>
              </w:rPr>
              <w:t>tique</w:t>
            </w:r>
            <w:r w:rsidRPr="00BB3269">
              <w:rPr>
                <w:rFonts w:cs="Arial"/>
                <w:b/>
                <w:bCs/>
                <w:sz w:val="22"/>
                <w:szCs w:val="22"/>
                <w:lang w:val="fr-BE"/>
              </w:rPr>
              <w:t xml:space="preserve"> pour compte de tiers </w:t>
            </w:r>
          </w:p>
        </w:tc>
        <w:tc>
          <w:tcPr>
            <w:tcW w:w="285" w:type="dxa"/>
          </w:tcPr>
          <w:p w14:paraId="3334D06A" w14:textId="77777777" w:rsidR="00B63ACA" w:rsidRPr="00BB3269" w:rsidRDefault="00B63ACA" w:rsidP="002E0D82">
            <w:pPr>
              <w:jc w:val="both"/>
              <w:rPr>
                <w:rFonts w:cs="Arial"/>
                <w:sz w:val="22"/>
                <w:szCs w:val="22"/>
                <w:lang w:val="fr-FR"/>
              </w:rPr>
            </w:pPr>
          </w:p>
        </w:tc>
        <w:tc>
          <w:tcPr>
            <w:tcW w:w="5353" w:type="dxa"/>
          </w:tcPr>
          <w:p w14:paraId="0C2C4755" w14:textId="77777777" w:rsidR="00B63ACA" w:rsidRPr="00BB3269" w:rsidRDefault="00B63ACA" w:rsidP="00423605">
            <w:pPr>
              <w:pStyle w:val="Kop4"/>
              <w:rPr>
                <w:rFonts w:cs="Arial"/>
                <w:szCs w:val="22"/>
                <w:lang w:val="nl-BE"/>
              </w:rPr>
            </w:pPr>
            <w:r w:rsidRPr="00BB3269">
              <w:rPr>
                <w:rFonts w:cs="Arial"/>
                <w:szCs w:val="22"/>
                <w:lang w:val="nl-BE"/>
              </w:rPr>
              <w:t xml:space="preserve">Paritair </w:t>
            </w:r>
            <w:r w:rsidR="00011520" w:rsidRPr="00BB3269">
              <w:rPr>
                <w:rFonts w:cs="Arial"/>
                <w:szCs w:val="22"/>
                <w:lang w:val="nl-BE"/>
              </w:rPr>
              <w:t>subc</w:t>
            </w:r>
            <w:r w:rsidRPr="00BB3269">
              <w:rPr>
                <w:rFonts w:cs="Arial"/>
                <w:szCs w:val="22"/>
                <w:lang w:val="nl-BE"/>
              </w:rPr>
              <w:t xml:space="preserve">omité voor het </w:t>
            </w:r>
            <w:r w:rsidR="00011520" w:rsidRPr="00BB3269">
              <w:rPr>
                <w:rFonts w:cs="Arial"/>
                <w:szCs w:val="22"/>
                <w:lang w:val="nl-BE"/>
              </w:rPr>
              <w:t>wegv</w:t>
            </w:r>
            <w:r w:rsidRPr="00BB3269">
              <w:rPr>
                <w:rFonts w:cs="Arial"/>
                <w:szCs w:val="22"/>
                <w:lang w:val="nl-BE"/>
              </w:rPr>
              <w:t>ervoer en de Logistiek</w:t>
            </w:r>
            <w:r w:rsidR="00011520" w:rsidRPr="00BB3269">
              <w:rPr>
                <w:rFonts w:cs="Arial"/>
                <w:szCs w:val="22"/>
                <w:lang w:val="nl-BE"/>
              </w:rPr>
              <w:t xml:space="preserve"> voor rekening van derden </w:t>
            </w:r>
          </w:p>
        </w:tc>
      </w:tr>
      <w:tr w:rsidR="00B63ACA" w:rsidRPr="00F558F4" w14:paraId="352D5C9D" w14:textId="77777777" w:rsidTr="00933DD7">
        <w:trPr>
          <w:trHeight w:val="20"/>
        </w:trPr>
        <w:tc>
          <w:tcPr>
            <w:tcW w:w="5351" w:type="dxa"/>
            <w:shd w:val="clear" w:color="auto" w:fill="auto"/>
          </w:tcPr>
          <w:p w14:paraId="6FF37D13" w14:textId="77777777" w:rsidR="00B63ACA" w:rsidRPr="00BB3269" w:rsidRDefault="00B63ACA" w:rsidP="00E2377D">
            <w:pPr>
              <w:jc w:val="both"/>
              <w:rPr>
                <w:rFonts w:cs="Arial"/>
                <w:sz w:val="22"/>
                <w:szCs w:val="22"/>
                <w:lang w:val="nl-BE"/>
              </w:rPr>
            </w:pPr>
          </w:p>
        </w:tc>
        <w:tc>
          <w:tcPr>
            <w:tcW w:w="285" w:type="dxa"/>
          </w:tcPr>
          <w:p w14:paraId="6B1243C0" w14:textId="77777777" w:rsidR="00B63ACA" w:rsidRPr="00EB29E7" w:rsidRDefault="00B63ACA" w:rsidP="00E2377D">
            <w:pPr>
              <w:jc w:val="both"/>
              <w:rPr>
                <w:rFonts w:cs="Arial"/>
                <w:sz w:val="22"/>
                <w:szCs w:val="22"/>
                <w:lang w:val="nl-BE"/>
              </w:rPr>
            </w:pPr>
          </w:p>
        </w:tc>
        <w:tc>
          <w:tcPr>
            <w:tcW w:w="5353" w:type="dxa"/>
          </w:tcPr>
          <w:p w14:paraId="36BE14B6" w14:textId="77777777" w:rsidR="00B63ACA" w:rsidRPr="00EB29E7" w:rsidRDefault="00B63ACA" w:rsidP="00E2377D">
            <w:pPr>
              <w:jc w:val="both"/>
              <w:rPr>
                <w:rFonts w:cs="Arial"/>
                <w:sz w:val="22"/>
                <w:szCs w:val="22"/>
                <w:lang w:val="nl-BE"/>
              </w:rPr>
            </w:pPr>
          </w:p>
        </w:tc>
      </w:tr>
      <w:tr w:rsidR="006B6618" w:rsidRPr="00EB29E7" w14:paraId="35280A8F" w14:textId="77777777" w:rsidTr="00933DD7">
        <w:trPr>
          <w:trHeight w:val="20"/>
        </w:trPr>
        <w:tc>
          <w:tcPr>
            <w:tcW w:w="5351" w:type="dxa"/>
            <w:shd w:val="clear" w:color="auto" w:fill="auto"/>
          </w:tcPr>
          <w:p w14:paraId="2846CC5A" w14:textId="0B91A1B4" w:rsidR="00B63ACA" w:rsidRPr="00EB29E7" w:rsidRDefault="00B63ACA" w:rsidP="00F710AF">
            <w:pPr>
              <w:pStyle w:val="Kop3"/>
              <w:rPr>
                <w:rFonts w:cs="Arial"/>
                <w:b/>
                <w:szCs w:val="22"/>
              </w:rPr>
            </w:pPr>
            <w:r w:rsidRPr="00BB3269">
              <w:rPr>
                <w:rFonts w:cs="Arial"/>
                <w:b/>
                <w:szCs w:val="22"/>
              </w:rPr>
              <w:t>C</w:t>
            </w:r>
            <w:r w:rsidR="00C83D87" w:rsidRPr="00EB29E7">
              <w:rPr>
                <w:rFonts w:cs="Arial"/>
                <w:b/>
                <w:szCs w:val="22"/>
              </w:rPr>
              <w:t>onv</w:t>
            </w:r>
            <w:r w:rsidR="00477649" w:rsidRPr="00EB29E7">
              <w:rPr>
                <w:rFonts w:cs="Arial"/>
                <w:b/>
                <w:szCs w:val="22"/>
              </w:rPr>
              <w:t>ention collective de travail du</w:t>
            </w:r>
            <w:r w:rsidR="00850B51" w:rsidRPr="00EB29E7">
              <w:rPr>
                <w:rFonts w:cs="Arial"/>
                <w:b/>
                <w:szCs w:val="22"/>
              </w:rPr>
              <w:t xml:space="preserve"> </w:t>
            </w:r>
            <w:r w:rsidR="009E6AF1" w:rsidRPr="00EB29E7">
              <w:rPr>
                <w:rFonts w:cs="Arial"/>
                <w:b/>
                <w:szCs w:val="22"/>
              </w:rPr>
              <w:t>21</w:t>
            </w:r>
            <w:r w:rsidR="00F978EB" w:rsidRPr="00EB29E7">
              <w:rPr>
                <w:rFonts w:cs="Arial"/>
                <w:b/>
                <w:szCs w:val="22"/>
              </w:rPr>
              <w:t>/</w:t>
            </w:r>
            <w:r w:rsidR="00F710AF" w:rsidRPr="00EB29E7">
              <w:rPr>
                <w:rFonts w:cs="Arial"/>
                <w:b/>
                <w:szCs w:val="22"/>
              </w:rPr>
              <w:t>10</w:t>
            </w:r>
            <w:r w:rsidR="00F978EB" w:rsidRPr="00EB29E7">
              <w:rPr>
                <w:rFonts w:cs="Arial"/>
                <w:b/>
                <w:szCs w:val="22"/>
              </w:rPr>
              <w:t>/</w:t>
            </w:r>
            <w:r w:rsidR="006C1E89" w:rsidRPr="00EB29E7">
              <w:rPr>
                <w:rFonts w:cs="Arial"/>
                <w:b/>
                <w:szCs w:val="22"/>
              </w:rPr>
              <w:t>20</w:t>
            </w:r>
            <w:r w:rsidR="009E6AF1" w:rsidRPr="00EB29E7">
              <w:rPr>
                <w:rFonts w:cs="Arial"/>
                <w:b/>
                <w:szCs w:val="22"/>
              </w:rPr>
              <w:t>21</w:t>
            </w:r>
          </w:p>
        </w:tc>
        <w:tc>
          <w:tcPr>
            <w:tcW w:w="285" w:type="dxa"/>
          </w:tcPr>
          <w:p w14:paraId="3F1A5FF4" w14:textId="77777777" w:rsidR="00B63ACA" w:rsidRPr="00EB29E7" w:rsidRDefault="00B63ACA" w:rsidP="00E2377D">
            <w:pPr>
              <w:jc w:val="both"/>
              <w:rPr>
                <w:rFonts w:cs="Arial"/>
                <w:sz w:val="22"/>
                <w:szCs w:val="22"/>
                <w:lang w:val="fr-FR"/>
              </w:rPr>
            </w:pPr>
          </w:p>
        </w:tc>
        <w:tc>
          <w:tcPr>
            <w:tcW w:w="5353" w:type="dxa"/>
          </w:tcPr>
          <w:p w14:paraId="71DFE383" w14:textId="03369513" w:rsidR="00B63ACA" w:rsidRPr="00EB29E7" w:rsidRDefault="00B63ACA" w:rsidP="00F710AF">
            <w:pPr>
              <w:jc w:val="both"/>
              <w:rPr>
                <w:rFonts w:cs="Arial"/>
                <w:b/>
                <w:i/>
                <w:iCs/>
                <w:strike/>
                <w:sz w:val="22"/>
                <w:szCs w:val="22"/>
                <w:lang w:val="fr-FR"/>
              </w:rPr>
            </w:pPr>
            <w:r w:rsidRPr="00EB29E7">
              <w:rPr>
                <w:rFonts w:cs="Arial"/>
                <w:b/>
                <w:i/>
                <w:iCs/>
                <w:sz w:val="22"/>
                <w:szCs w:val="22"/>
                <w:lang w:val="fr-FR"/>
              </w:rPr>
              <w:t>Coll</w:t>
            </w:r>
            <w:r w:rsidR="0066514B" w:rsidRPr="00EB29E7">
              <w:rPr>
                <w:rFonts w:cs="Arial"/>
                <w:b/>
                <w:i/>
                <w:iCs/>
                <w:sz w:val="22"/>
                <w:szCs w:val="22"/>
                <w:lang w:val="fr-FR"/>
              </w:rPr>
              <w:t xml:space="preserve">ectieve arbeidsovereenkomst van </w:t>
            </w:r>
            <w:r w:rsidR="00C26C34" w:rsidRPr="00EB29E7">
              <w:rPr>
                <w:rFonts w:cs="Arial"/>
                <w:b/>
                <w:i/>
                <w:iCs/>
                <w:sz w:val="22"/>
                <w:szCs w:val="22"/>
                <w:lang w:val="fr-FR"/>
              </w:rPr>
              <w:t xml:space="preserve"> 21/10/2021</w:t>
            </w:r>
          </w:p>
        </w:tc>
      </w:tr>
      <w:tr w:rsidR="00B63ACA" w:rsidRPr="00EB29E7" w14:paraId="46D6B186" w14:textId="77777777" w:rsidTr="00933DD7">
        <w:trPr>
          <w:trHeight w:val="20"/>
        </w:trPr>
        <w:tc>
          <w:tcPr>
            <w:tcW w:w="5351" w:type="dxa"/>
            <w:shd w:val="clear" w:color="auto" w:fill="auto"/>
          </w:tcPr>
          <w:p w14:paraId="5C29CE10" w14:textId="77777777" w:rsidR="00B63ACA" w:rsidRPr="00BB3269" w:rsidRDefault="00B63ACA" w:rsidP="00E2377D">
            <w:pPr>
              <w:jc w:val="both"/>
              <w:rPr>
                <w:rFonts w:cs="Arial"/>
                <w:sz w:val="22"/>
                <w:szCs w:val="22"/>
                <w:lang w:val="nl-BE"/>
              </w:rPr>
            </w:pPr>
          </w:p>
        </w:tc>
        <w:tc>
          <w:tcPr>
            <w:tcW w:w="285" w:type="dxa"/>
          </w:tcPr>
          <w:p w14:paraId="4AD32BE8" w14:textId="77777777" w:rsidR="00B63ACA" w:rsidRPr="00EB29E7" w:rsidRDefault="00B63ACA" w:rsidP="00E2377D">
            <w:pPr>
              <w:jc w:val="both"/>
              <w:rPr>
                <w:rFonts w:cs="Arial"/>
                <w:sz w:val="22"/>
                <w:szCs w:val="22"/>
                <w:lang w:val="nl-BE"/>
              </w:rPr>
            </w:pPr>
          </w:p>
        </w:tc>
        <w:tc>
          <w:tcPr>
            <w:tcW w:w="5353" w:type="dxa"/>
          </w:tcPr>
          <w:p w14:paraId="224832EF" w14:textId="77777777" w:rsidR="00B63ACA" w:rsidRPr="00EB29E7" w:rsidRDefault="00B63ACA" w:rsidP="00011520">
            <w:pPr>
              <w:jc w:val="center"/>
              <w:rPr>
                <w:rFonts w:cs="Arial"/>
                <w:sz w:val="22"/>
                <w:szCs w:val="22"/>
                <w:lang w:val="nl-BE"/>
              </w:rPr>
            </w:pPr>
          </w:p>
        </w:tc>
      </w:tr>
      <w:tr w:rsidR="00B63ACA" w:rsidRPr="00F558F4" w14:paraId="1AE5E469" w14:textId="77777777" w:rsidTr="00933DD7">
        <w:trPr>
          <w:trHeight w:val="20"/>
        </w:trPr>
        <w:tc>
          <w:tcPr>
            <w:tcW w:w="5351" w:type="dxa"/>
            <w:shd w:val="clear" w:color="auto" w:fill="auto"/>
          </w:tcPr>
          <w:p w14:paraId="35652C16" w14:textId="464ADCCD" w:rsidR="000D2403" w:rsidRPr="00EB29E7" w:rsidRDefault="00B63ACA" w:rsidP="000D2403">
            <w:pPr>
              <w:jc w:val="both"/>
              <w:rPr>
                <w:rFonts w:cs="Arial"/>
                <w:strike/>
                <w:sz w:val="22"/>
                <w:szCs w:val="22"/>
                <w:lang w:val="fr-BE"/>
              </w:rPr>
            </w:pPr>
            <w:r w:rsidRPr="00BB3269">
              <w:rPr>
                <w:rFonts w:cs="Arial"/>
                <w:sz w:val="22"/>
                <w:szCs w:val="22"/>
                <w:lang w:val="fr-BE"/>
              </w:rPr>
              <w:t>Convention c</w:t>
            </w:r>
            <w:r w:rsidR="00C2578E" w:rsidRPr="00EB29E7">
              <w:rPr>
                <w:rFonts w:cs="Arial"/>
                <w:sz w:val="22"/>
                <w:szCs w:val="22"/>
                <w:lang w:val="fr-BE"/>
              </w:rPr>
              <w:t>ollective de travail relative</w:t>
            </w:r>
            <w:r w:rsidR="00BE1830" w:rsidRPr="00EB29E7">
              <w:rPr>
                <w:rFonts w:cs="Arial"/>
                <w:b/>
                <w:sz w:val="22"/>
                <w:szCs w:val="22"/>
                <w:lang w:val="fr-BE"/>
              </w:rPr>
              <w:t xml:space="preserve"> </w:t>
            </w:r>
            <w:r w:rsidR="000D2403" w:rsidRPr="00EB29E7">
              <w:rPr>
                <w:rFonts w:cs="Arial"/>
                <w:sz w:val="22"/>
                <w:szCs w:val="22"/>
                <w:lang w:val="fr-BE"/>
              </w:rPr>
              <w:t>à l’octroi d’un</w:t>
            </w:r>
            <w:r w:rsidR="009E6AF1" w:rsidRPr="00EB29E7">
              <w:rPr>
                <w:rFonts w:cs="Arial"/>
                <w:sz w:val="22"/>
                <w:szCs w:val="22"/>
                <w:lang w:val="fr-BE"/>
              </w:rPr>
              <w:t>e</w:t>
            </w:r>
            <w:r w:rsidR="000D2403" w:rsidRPr="00EB29E7">
              <w:rPr>
                <w:rFonts w:cs="Arial"/>
                <w:sz w:val="22"/>
                <w:szCs w:val="22"/>
                <w:lang w:val="fr-BE"/>
              </w:rPr>
              <w:t xml:space="preserve"> </w:t>
            </w:r>
            <w:r w:rsidR="009E6AF1" w:rsidRPr="00EB29E7">
              <w:rPr>
                <w:rFonts w:cs="Arial"/>
                <w:sz w:val="22"/>
                <w:szCs w:val="22"/>
                <w:lang w:val="fr-BE"/>
              </w:rPr>
              <w:t>prime corona</w:t>
            </w:r>
            <w:r w:rsidR="000D2403" w:rsidRPr="00EB29E7">
              <w:rPr>
                <w:rFonts w:cs="Arial"/>
                <w:sz w:val="22"/>
                <w:szCs w:val="22"/>
                <w:lang w:val="fr-BE"/>
              </w:rPr>
              <w:t xml:space="preserve"> unique </w:t>
            </w:r>
            <w:r w:rsidR="00B93748">
              <w:rPr>
                <w:rFonts w:cs="Arial"/>
                <w:sz w:val="22"/>
                <w:szCs w:val="22"/>
                <w:lang w:val="fr-BE"/>
              </w:rPr>
              <w:t>aux</w:t>
            </w:r>
            <w:r w:rsidR="000D2403" w:rsidRPr="00EB29E7">
              <w:rPr>
                <w:rFonts w:cs="Arial"/>
                <w:sz w:val="22"/>
                <w:szCs w:val="22"/>
                <w:lang w:val="fr-BE"/>
              </w:rPr>
              <w:t xml:space="preserve"> travailleurs faisant partie du personnel roulant et non-roulant</w:t>
            </w:r>
            <w:r w:rsidR="00FA1271" w:rsidRPr="00EB29E7">
              <w:rPr>
                <w:rFonts w:cs="Arial"/>
                <w:sz w:val="22"/>
                <w:szCs w:val="22"/>
                <w:lang w:val="fr-BE"/>
              </w:rPr>
              <w:t>,</w:t>
            </w:r>
            <w:r w:rsidR="000D2403" w:rsidRPr="00EB29E7">
              <w:rPr>
                <w:rFonts w:cs="Arial"/>
                <w:sz w:val="22"/>
                <w:szCs w:val="22"/>
                <w:lang w:val="fr-BE"/>
              </w:rPr>
              <w:t xml:space="preserve"> étant ou entrant en service </w:t>
            </w:r>
            <w:r w:rsidR="00FA1271" w:rsidRPr="00EB29E7">
              <w:rPr>
                <w:rFonts w:cs="Arial"/>
                <w:sz w:val="22"/>
                <w:szCs w:val="22"/>
                <w:lang w:val="fr-BE"/>
              </w:rPr>
              <w:t>dans</w:t>
            </w:r>
            <w:r w:rsidR="000D2403" w:rsidRPr="00EB29E7">
              <w:rPr>
                <w:rFonts w:cs="Arial"/>
                <w:sz w:val="22"/>
                <w:szCs w:val="22"/>
                <w:lang w:val="fr-BE"/>
              </w:rPr>
              <w:t xml:space="preserve"> des entreprises appartenant au sous-secteur du transport routier et de la logistique pour compte de tiers. </w:t>
            </w:r>
          </w:p>
          <w:p w14:paraId="055909A2" w14:textId="77777777" w:rsidR="00BE1830" w:rsidRPr="00EB29E7" w:rsidRDefault="00BE1830" w:rsidP="000E7779">
            <w:pPr>
              <w:jc w:val="both"/>
              <w:rPr>
                <w:rFonts w:cs="Arial"/>
                <w:b/>
                <w:sz w:val="22"/>
                <w:szCs w:val="22"/>
                <w:lang w:val="fr-BE"/>
              </w:rPr>
            </w:pPr>
          </w:p>
          <w:p w14:paraId="43D343D3" w14:textId="77777777" w:rsidR="00B63ACA" w:rsidRPr="00EB29E7" w:rsidRDefault="00C2578E" w:rsidP="000D2403">
            <w:pPr>
              <w:jc w:val="both"/>
              <w:rPr>
                <w:rFonts w:cs="Arial"/>
                <w:sz w:val="22"/>
                <w:szCs w:val="22"/>
                <w:lang w:val="fr-BE"/>
              </w:rPr>
            </w:pPr>
            <w:r w:rsidRPr="00EB29E7">
              <w:rPr>
                <w:rFonts w:cs="Arial"/>
                <w:b/>
                <w:sz w:val="22"/>
                <w:szCs w:val="22"/>
                <w:lang w:val="fr-BE"/>
              </w:rPr>
              <w:t xml:space="preserve"> </w:t>
            </w:r>
            <w:r w:rsidRPr="00EB29E7">
              <w:rPr>
                <w:rFonts w:cs="Arial"/>
                <w:sz w:val="22"/>
                <w:szCs w:val="22"/>
                <w:lang w:val="fr-BE"/>
              </w:rPr>
              <w:t xml:space="preserve"> </w:t>
            </w:r>
            <w:r w:rsidR="00BE1830" w:rsidRPr="00EB29E7">
              <w:rPr>
                <w:rFonts w:cs="Arial"/>
                <w:sz w:val="22"/>
                <w:szCs w:val="22"/>
                <w:lang w:val="fr-BE"/>
              </w:rPr>
              <w:t xml:space="preserve">                                                                 </w:t>
            </w:r>
          </w:p>
        </w:tc>
        <w:tc>
          <w:tcPr>
            <w:tcW w:w="285" w:type="dxa"/>
          </w:tcPr>
          <w:p w14:paraId="1ADDC36E" w14:textId="77777777" w:rsidR="00B63ACA" w:rsidRPr="00EB29E7" w:rsidRDefault="00B63ACA" w:rsidP="00E2377D">
            <w:pPr>
              <w:jc w:val="both"/>
              <w:rPr>
                <w:rFonts w:cs="Arial"/>
                <w:sz w:val="22"/>
                <w:szCs w:val="22"/>
                <w:lang w:val="fr-FR"/>
              </w:rPr>
            </w:pPr>
          </w:p>
        </w:tc>
        <w:tc>
          <w:tcPr>
            <w:tcW w:w="5353" w:type="dxa"/>
          </w:tcPr>
          <w:p w14:paraId="489F1B44" w14:textId="4C28BF31" w:rsidR="00B63ACA" w:rsidRPr="00EB29E7" w:rsidRDefault="00B63ACA" w:rsidP="00423605">
            <w:pPr>
              <w:jc w:val="both"/>
              <w:rPr>
                <w:rFonts w:cs="Arial"/>
                <w:sz w:val="22"/>
                <w:szCs w:val="22"/>
                <w:lang w:val="nl-BE"/>
              </w:rPr>
            </w:pPr>
            <w:r w:rsidRPr="00EB29E7">
              <w:rPr>
                <w:rFonts w:cs="Arial"/>
                <w:sz w:val="22"/>
                <w:szCs w:val="22"/>
                <w:lang w:val="nl-BE"/>
              </w:rPr>
              <w:t xml:space="preserve">Collectieve arbeidsovereenkomst </w:t>
            </w:r>
            <w:r w:rsidR="00E445DC" w:rsidRPr="00EB29E7">
              <w:rPr>
                <w:rFonts w:cs="Arial"/>
                <w:iCs/>
                <w:sz w:val="22"/>
                <w:szCs w:val="22"/>
                <w:lang w:val="nl-BE"/>
              </w:rPr>
              <w:t>betreffende de</w:t>
            </w:r>
            <w:r w:rsidR="00477649" w:rsidRPr="00EB29E7">
              <w:rPr>
                <w:rFonts w:cs="Arial"/>
                <w:iCs/>
                <w:sz w:val="22"/>
                <w:szCs w:val="22"/>
                <w:lang w:val="nl-BE"/>
              </w:rPr>
              <w:t xml:space="preserve"> </w:t>
            </w:r>
            <w:r w:rsidR="006C1E89" w:rsidRPr="00EB29E7">
              <w:rPr>
                <w:rFonts w:cs="Arial"/>
                <w:iCs/>
                <w:sz w:val="22"/>
                <w:szCs w:val="22"/>
                <w:lang w:val="nl-BE"/>
              </w:rPr>
              <w:t xml:space="preserve">toekenning van een éénmalige </w:t>
            </w:r>
            <w:r w:rsidR="009E6AF1" w:rsidRPr="00EB29E7">
              <w:rPr>
                <w:rFonts w:cs="Arial"/>
                <w:iCs/>
                <w:sz w:val="22"/>
                <w:szCs w:val="22"/>
                <w:lang w:val="nl-BE"/>
              </w:rPr>
              <w:t>coronapremie</w:t>
            </w:r>
            <w:r w:rsidR="006C1E89" w:rsidRPr="00EB29E7">
              <w:rPr>
                <w:rFonts w:cs="Arial"/>
                <w:iCs/>
                <w:sz w:val="22"/>
                <w:szCs w:val="22"/>
                <w:lang w:val="nl-BE"/>
              </w:rPr>
              <w:t xml:space="preserve"> aan de </w:t>
            </w:r>
            <w:r w:rsidRPr="00EB29E7">
              <w:rPr>
                <w:rFonts w:cs="Arial"/>
                <w:sz w:val="22"/>
                <w:szCs w:val="22"/>
                <w:lang w:val="nl-BE"/>
              </w:rPr>
              <w:t xml:space="preserve"> werknemers </w:t>
            </w:r>
            <w:r w:rsidR="00E445DC" w:rsidRPr="00EB29E7">
              <w:rPr>
                <w:rFonts w:cs="Arial"/>
                <w:sz w:val="22"/>
                <w:szCs w:val="22"/>
                <w:lang w:val="nl-BE"/>
              </w:rPr>
              <w:t xml:space="preserve">behorende tot het rijdend </w:t>
            </w:r>
            <w:r w:rsidR="00477649" w:rsidRPr="00EB29E7">
              <w:rPr>
                <w:rFonts w:cs="Arial"/>
                <w:sz w:val="22"/>
                <w:szCs w:val="22"/>
                <w:lang w:val="nl-BE"/>
              </w:rPr>
              <w:t xml:space="preserve">en het niet rijdend </w:t>
            </w:r>
            <w:r w:rsidR="00E445DC" w:rsidRPr="00EB29E7">
              <w:rPr>
                <w:rFonts w:cs="Arial"/>
                <w:sz w:val="22"/>
                <w:szCs w:val="22"/>
                <w:lang w:val="nl-BE"/>
              </w:rPr>
              <w:t xml:space="preserve">personeel </w:t>
            </w:r>
            <w:r w:rsidRPr="00EB29E7">
              <w:rPr>
                <w:rFonts w:cs="Arial"/>
                <w:sz w:val="22"/>
                <w:szCs w:val="22"/>
                <w:lang w:val="nl-BE"/>
              </w:rPr>
              <w:t>die in dienst zijn of treden van onderne</w:t>
            </w:r>
            <w:r w:rsidR="00011520" w:rsidRPr="00EB29E7">
              <w:rPr>
                <w:rFonts w:cs="Arial"/>
                <w:sz w:val="22"/>
                <w:szCs w:val="22"/>
                <w:lang w:val="nl-BE"/>
              </w:rPr>
              <w:t xml:space="preserve">mingen behorend tot </w:t>
            </w:r>
            <w:r w:rsidR="00405330" w:rsidRPr="00EB29E7">
              <w:rPr>
                <w:rFonts w:cs="Arial"/>
                <w:sz w:val="22"/>
                <w:szCs w:val="22"/>
                <w:lang w:val="nl-BE"/>
              </w:rPr>
              <w:t xml:space="preserve">het paritair </w:t>
            </w:r>
            <w:r w:rsidR="00011520" w:rsidRPr="00EB29E7">
              <w:rPr>
                <w:rFonts w:cs="Arial"/>
                <w:sz w:val="22"/>
                <w:szCs w:val="22"/>
                <w:lang w:val="nl-BE"/>
              </w:rPr>
              <w:t>subcomité voor het weg</w:t>
            </w:r>
            <w:r w:rsidRPr="00EB29E7">
              <w:rPr>
                <w:rFonts w:cs="Arial"/>
                <w:sz w:val="22"/>
                <w:szCs w:val="22"/>
                <w:lang w:val="nl-BE"/>
              </w:rPr>
              <w:t xml:space="preserve">vervoer </w:t>
            </w:r>
            <w:r w:rsidR="00011520" w:rsidRPr="00EB29E7">
              <w:rPr>
                <w:rFonts w:cs="Arial"/>
                <w:sz w:val="22"/>
                <w:szCs w:val="22"/>
                <w:lang w:val="nl-BE"/>
              </w:rPr>
              <w:t xml:space="preserve">en de logistiek voor rekening van derden. </w:t>
            </w:r>
          </w:p>
        </w:tc>
      </w:tr>
      <w:tr w:rsidR="00B63ACA" w:rsidRPr="00F558F4" w14:paraId="507BDE2F" w14:textId="77777777" w:rsidTr="00933DD7">
        <w:trPr>
          <w:trHeight w:val="20"/>
        </w:trPr>
        <w:tc>
          <w:tcPr>
            <w:tcW w:w="5351" w:type="dxa"/>
          </w:tcPr>
          <w:p w14:paraId="0078486B" w14:textId="77777777" w:rsidR="00B63ACA" w:rsidRPr="00BB3269" w:rsidRDefault="00B63ACA" w:rsidP="00E2377D">
            <w:pPr>
              <w:jc w:val="both"/>
              <w:rPr>
                <w:rFonts w:cs="Arial"/>
                <w:sz w:val="22"/>
                <w:szCs w:val="22"/>
                <w:lang w:val="nl-BE"/>
              </w:rPr>
            </w:pPr>
          </w:p>
        </w:tc>
        <w:tc>
          <w:tcPr>
            <w:tcW w:w="285" w:type="dxa"/>
          </w:tcPr>
          <w:p w14:paraId="217EF429" w14:textId="77777777" w:rsidR="00B63ACA" w:rsidRPr="00EB29E7" w:rsidRDefault="00B63ACA" w:rsidP="00E2377D">
            <w:pPr>
              <w:jc w:val="both"/>
              <w:rPr>
                <w:rFonts w:cs="Arial"/>
                <w:sz w:val="22"/>
                <w:szCs w:val="22"/>
                <w:lang w:val="nl-BE"/>
              </w:rPr>
            </w:pPr>
          </w:p>
        </w:tc>
        <w:tc>
          <w:tcPr>
            <w:tcW w:w="5353" w:type="dxa"/>
          </w:tcPr>
          <w:p w14:paraId="1E6980B8" w14:textId="77777777" w:rsidR="00B63ACA" w:rsidRPr="00EB29E7" w:rsidRDefault="00B63ACA" w:rsidP="00E2377D">
            <w:pPr>
              <w:jc w:val="both"/>
              <w:rPr>
                <w:rFonts w:cs="Arial"/>
                <w:sz w:val="22"/>
                <w:szCs w:val="22"/>
                <w:lang w:val="nl-BE"/>
              </w:rPr>
            </w:pPr>
          </w:p>
        </w:tc>
      </w:tr>
      <w:tr w:rsidR="00B63ACA" w:rsidRPr="00EB29E7" w14:paraId="3BAB5D9D" w14:textId="77777777" w:rsidTr="00933DD7">
        <w:trPr>
          <w:trHeight w:val="20"/>
        </w:trPr>
        <w:tc>
          <w:tcPr>
            <w:tcW w:w="5351" w:type="dxa"/>
          </w:tcPr>
          <w:p w14:paraId="3B079045" w14:textId="77777777" w:rsidR="00B63ACA" w:rsidRPr="00EB29E7" w:rsidRDefault="00B63ACA" w:rsidP="00E2377D">
            <w:pPr>
              <w:jc w:val="center"/>
              <w:rPr>
                <w:rFonts w:cs="Arial"/>
                <w:sz w:val="22"/>
                <w:szCs w:val="22"/>
                <w:lang w:val="fr-BE"/>
              </w:rPr>
            </w:pPr>
            <w:r w:rsidRPr="00BB3269">
              <w:rPr>
                <w:rFonts w:cs="Arial"/>
                <w:b/>
                <w:bCs/>
                <w:sz w:val="22"/>
                <w:szCs w:val="22"/>
                <w:lang w:val="fr-BE"/>
              </w:rPr>
              <w:t xml:space="preserve">CHAPITRE I. - </w:t>
            </w:r>
            <w:r w:rsidRPr="00EB29E7">
              <w:rPr>
                <w:rFonts w:cs="Arial"/>
                <w:b/>
                <w:bCs/>
                <w:i/>
                <w:sz w:val="22"/>
                <w:szCs w:val="22"/>
                <w:lang w:val="fr-BE"/>
              </w:rPr>
              <w:t>Champ d’application</w:t>
            </w:r>
          </w:p>
        </w:tc>
        <w:tc>
          <w:tcPr>
            <w:tcW w:w="285" w:type="dxa"/>
          </w:tcPr>
          <w:p w14:paraId="2C368B79" w14:textId="77777777" w:rsidR="00B63ACA" w:rsidRPr="00EB29E7" w:rsidRDefault="00B63ACA" w:rsidP="00E2377D">
            <w:pPr>
              <w:jc w:val="center"/>
              <w:rPr>
                <w:rFonts w:cs="Arial"/>
                <w:sz w:val="22"/>
                <w:szCs w:val="22"/>
                <w:lang w:val="fr-FR"/>
              </w:rPr>
            </w:pPr>
          </w:p>
        </w:tc>
        <w:tc>
          <w:tcPr>
            <w:tcW w:w="5353" w:type="dxa"/>
          </w:tcPr>
          <w:p w14:paraId="439163B8" w14:textId="77777777" w:rsidR="00B63ACA" w:rsidRPr="00EB29E7" w:rsidRDefault="00B63ACA" w:rsidP="00E2377D">
            <w:pPr>
              <w:jc w:val="center"/>
              <w:rPr>
                <w:rFonts w:cs="Arial"/>
                <w:sz w:val="22"/>
                <w:szCs w:val="22"/>
                <w:lang w:val="nl-BE"/>
              </w:rPr>
            </w:pPr>
            <w:r w:rsidRPr="00EB29E7">
              <w:rPr>
                <w:rFonts w:cs="Arial"/>
                <w:b/>
                <w:bCs/>
                <w:sz w:val="22"/>
                <w:szCs w:val="22"/>
                <w:lang w:val="nl-BE"/>
              </w:rPr>
              <w:t xml:space="preserve">HOOFDSTUK I. – </w:t>
            </w:r>
            <w:r w:rsidRPr="00EB29E7">
              <w:rPr>
                <w:rFonts w:cs="Arial"/>
                <w:b/>
                <w:bCs/>
                <w:i/>
                <w:sz w:val="22"/>
                <w:szCs w:val="22"/>
                <w:lang w:val="nl-BE"/>
              </w:rPr>
              <w:t>Toepassingsgebied</w:t>
            </w:r>
          </w:p>
        </w:tc>
      </w:tr>
      <w:tr w:rsidR="00B63ACA" w:rsidRPr="00EB29E7" w14:paraId="68D7F4AE" w14:textId="77777777" w:rsidTr="00933DD7">
        <w:trPr>
          <w:trHeight w:val="20"/>
        </w:trPr>
        <w:tc>
          <w:tcPr>
            <w:tcW w:w="5351" w:type="dxa"/>
          </w:tcPr>
          <w:p w14:paraId="38332CB9" w14:textId="77777777" w:rsidR="00B63ACA" w:rsidRPr="00BB3269" w:rsidRDefault="00B63ACA" w:rsidP="00E2377D">
            <w:pPr>
              <w:jc w:val="both"/>
              <w:rPr>
                <w:rFonts w:cs="Arial"/>
                <w:sz w:val="22"/>
                <w:szCs w:val="22"/>
                <w:lang w:val="fr-BE"/>
              </w:rPr>
            </w:pPr>
          </w:p>
        </w:tc>
        <w:tc>
          <w:tcPr>
            <w:tcW w:w="285" w:type="dxa"/>
          </w:tcPr>
          <w:p w14:paraId="1E478323" w14:textId="77777777" w:rsidR="00B63ACA" w:rsidRPr="00EB29E7" w:rsidRDefault="00B63ACA" w:rsidP="00E2377D">
            <w:pPr>
              <w:jc w:val="both"/>
              <w:rPr>
                <w:rFonts w:cs="Arial"/>
                <w:sz w:val="22"/>
                <w:szCs w:val="22"/>
                <w:lang w:val="fr-FR"/>
              </w:rPr>
            </w:pPr>
          </w:p>
        </w:tc>
        <w:tc>
          <w:tcPr>
            <w:tcW w:w="5353" w:type="dxa"/>
          </w:tcPr>
          <w:p w14:paraId="387E8598" w14:textId="77777777" w:rsidR="00B63ACA" w:rsidRPr="00EB29E7" w:rsidRDefault="00B63ACA" w:rsidP="00E2377D">
            <w:pPr>
              <w:jc w:val="both"/>
              <w:rPr>
                <w:rFonts w:cs="Arial"/>
                <w:sz w:val="22"/>
                <w:szCs w:val="22"/>
                <w:lang w:val="nl-BE"/>
              </w:rPr>
            </w:pPr>
          </w:p>
        </w:tc>
      </w:tr>
      <w:tr w:rsidR="00B63ACA" w:rsidRPr="00F558F4" w14:paraId="346267DC" w14:textId="77777777" w:rsidTr="00933DD7">
        <w:trPr>
          <w:trHeight w:val="665"/>
        </w:trPr>
        <w:tc>
          <w:tcPr>
            <w:tcW w:w="5351" w:type="dxa"/>
          </w:tcPr>
          <w:p w14:paraId="3FD29698" w14:textId="15F6EA65" w:rsidR="00B63ACA" w:rsidRPr="00EB29E7" w:rsidRDefault="00F72E11" w:rsidP="00F84FBC">
            <w:pPr>
              <w:jc w:val="both"/>
              <w:rPr>
                <w:rFonts w:cs="Arial"/>
                <w:color w:val="000000"/>
                <w:sz w:val="22"/>
                <w:szCs w:val="22"/>
                <w:lang w:val="fr-BE"/>
              </w:rPr>
            </w:pPr>
            <w:r w:rsidRPr="00BB3269">
              <w:rPr>
                <w:rFonts w:cs="Arial"/>
                <w:color w:val="000000"/>
                <w:sz w:val="22"/>
                <w:szCs w:val="22"/>
                <w:lang w:val="fr-BE"/>
              </w:rPr>
              <w:t xml:space="preserve">Article 1. </w:t>
            </w:r>
            <w:r w:rsidR="00B93748">
              <w:rPr>
                <w:rFonts w:cs="Arial"/>
                <w:color w:val="000000"/>
                <w:sz w:val="22"/>
                <w:szCs w:val="22"/>
                <w:lang w:val="fr-BE"/>
              </w:rPr>
              <w:t>La présente</w:t>
            </w:r>
            <w:r w:rsidRPr="00BB3269">
              <w:rPr>
                <w:rFonts w:cs="Arial"/>
                <w:color w:val="000000"/>
                <w:sz w:val="22"/>
                <w:szCs w:val="22"/>
                <w:lang w:val="fr-BE"/>
              </w:rPr>
              <w:t xml:space="preserve"> cct </w:t>
            </w:r>
            <w:r w:rsidR="00B93748">
              <w:rPr>
                <w:rFonts w:cs="Arial"/>
                <w:color w:val="000000"/>
                <w:sz w:val="22"/>
                <w:szCs w:val="22"/>
                <w:lang w:val="fr-BE"/>
              </w:rPr>
              <w:t>s’applique aux</w:t>
            </w:r>
            <w:r w:rsidRPr="00BB3269">
              <w:rPr>
                <w:rFonts w:cs="Arial"/>
                <w:color w:val="000000"/>
                <w:sz w:val="22"/>
                <w:szCs w:val="22"/>
                <w:lang w:val="fr-BE"/>
              </w:rPr>
              <w:t xml:space="preserve"> employeurs et </w:t>
            </w:r>
            <w:r w:rsidR="00B93748">
              <w:rPr>
                <w:rFonts w:cs="Arial"/>
                <w:color w:val="000000"/>
                <w:sz w:val="22"/>
                <w:szCs w:val="22"/>
                <w:lang w:val="fr-BE"/>
              </w:rPr>
              <w:t xml:space="preserve">à </w:t>
            </w:r>
            <w:r w:rsidRPr="00BB3269">
              <w:rPr>
                <w:rFonts w:cs="Arial"/>
                <w:color w:val="000000"/>
                <w:sz w:val="22"/>
                <w:szCs w:val="22"/>
                <w:lang w:val="fr-BE"/>
              </w:rPr>
              <w:t xml:space="preserve">leurs travailleurs qui ressortissent à la sous-commission paritaire 140.03 pour le transport par route et la logistique pour compte de tiers. </w:t>
            </w:r>
          </w:p>
        </w:tc>
        <w:tc>
          <w:tcPr>
            <w:tcW w:w="285" w:type="dxa"/>
          </w:tcPr>
          <w:p w14:paraId="0CE827D4" w14:textId="77777777" w:rsidR="00B63ACA" w:rsidRPr="00EB29E7" w:rsidRDefault="00B63ACA" w:rsidP="00E2377D">
            <w:pPr>
              <w:jc w:val="both"/>
              <w:rPr>
                <w:rFonts w:cs="Arial"/>
                <w:sz w:val="22"/>
                <w:szCs w:val="22"/>
                <w:lang w:val="fr-FR"/>
              </w:rPr>
            </w:pPr>
          </w:p>
        </w:tc>
        <w:tc>
          <w:tcPr>
            <w:tcW w:w="5353" w:type="dxa"/>
          </w:tcPr>
          <w:p w14:paraId="414CA4FD" w14:textId="77777777" w:rsidR="00B63ACA" w:rsidRPr="00EB29E7" w:rsidRDefault="00C4070C" w:rsidP="00194F24">
            <w:pPr>
              <w:jc w:val="both"/>
              <w:rPr>
                <w:rFonts w:cs="Arial"/>
                <w:sz w:val="22"/>
                <w:szCs w:val="22"/>
                <w:lang w:val="nl-BE"/>
              </w:rPr>
            </w:pPr>
            <w:r w:rsidRPr="00EB29E7">
              <w:rPr>
                <w:rFonts w:cs="Arial"/>
                <w:b/>
                <w:sz w:val="22"/>
                <w:szCs w:val="22"/>
                <w:lang w:val="nl-BE"/>
              </w:rPr>
              <w:t xml:space="preserve">Artikel 1. </w:t>
            </w:r>
            <w:r w:rsidRPr="00EB29E7">
              <w:rPr>
                <w:rFonts w:cs="Arial"/>
                <w:sz w:val="22"/>
                <w:szCs w:val="22"/>
                <w:lang w:val="nl-BE"/>
              </w:rPr>
              <w:t xml:space="preserve">Deze cao is van toepassing op de werkgevers en hun werknemers die </w:t>
            </w:r>
            <w:r w:rsidR="00194F24" w:rsidRPr="00EB29E7">
              <w:rPr>
                <w:rFonts w:cs="Arial"/>
                <w:sz w:val="22"/>
                <w:szCs w:val="22"/>
                <w:lang w:val="nl-BE"/>
              </w:rPr>
              <w:t xml:space="preserve">ressorteren </w:t>
            </w:r>
            <w:r w:rsidRPr="00EB29E7">
              <w:rPr>
                <w:rFonts w:cs="Arial"/>
                <w:sz w:val="22"/>
                <w:szCs w:val="22"/>
                <w:lang w:val="nl-BE"/>
              </w:rPr>
              <w:t>onder de bevoegdheid van het Paritair Subcomité 140.03 voor het wegvervoer en de logistiek voor rekening van derden</w:t>
            </w:r>
            <w:r w:rsidR="00423605" w:rsidRPr="00EB29E7">
              <w:rPr>
                <w:rFonts w:cs="Arial"/>
                <w:sz w:val="22"/>
                <w:szCs w:val="22"/>
                <w:lang w:val="nl-BE"/>
              </w:rPr>
              <w:t>.</w:t>
            </w:r>
          </w:p>
        </w:tc>
      </w:tr>
      <w:tr w:rsidR="00C4070C" w:rsidRPr="00F558F4" w14:paraId="5F0112C8" w14:textId="77777777" w:rsidTr="00933DD7">
        <w:trPr>
          <w:trHeight w:val="131"/>
        </w:trPr>
        <w:tc>
          <w:tcPr>
            <w:tcW w:w="5351" w:type="dxa"/>
          </w:tcPr>
          <w:p w14:paraId="3E37369E" w14:textId="77777777" w:rsidR="00C4070C" w:rsidRPr="00BB3269" w:rsidRDefault="00C4070C" w:rsidP="00C4070C">
            <w:pPr>
              <w:jc w:val="both"/>
              <w:rPr>
                <w:rFonts w:cs="Arial"/>
                <w:color w:val="000000"/>
                <w:sz w:val="22"/>
                <w:szCs w:val="22"/>
                <w:highlight w:val="green"/>
                <w:lang w:val="nl-BE"/>
              </w:rPr>
            </w:pPr>
          </w:p>
        </w:tc>
        <w:tc>
          <w:tcPr>
            <w:tcW w:w="285" w:type="dxa"/>
          </w:tcPr>
          <w:p w14:paraId="6737211D" w14:textId="77777777" w:rsidR="00C4070C" w:rsidRPr="00EB29E7" w:rsidRDefault="00C4070C" w:rsidP="00C4070C">
            <w:pPr>
              <w:jc w:val="both"/>
              <w:rPr>
                <w:rFonts w:cs="Arial"/>
                <w:sz w:val="22"/>
                <w:szCs w:val="22"/>
                <w:lang w:val="nl-BE"/>
              </w:rPr>
            </w:pPr>
          </w:p>
        </w:tc>
        <w:tc>
          <w:tcPr>
            <w:tcW w:w="5353" w:type="dxa"/>
          </w:tcPr>
          <w:p w14:paraId="48FE4DF2" w14:textId="77777777" w:rsidR="00C4070C" w:rsidRPr="00EB29E7" w:rsidRDefault="00C4070C" w:rsidP="00C4070C">
            <w:pPr>
              <w:jc w:val="both"/>
              <w:rPr>
                <w:rFonts w:cs="Arial"/>
                <w:sz w:val="22"/>
                <w:szCs w:val="22"/>
                <w:lang w:val="nl-BE"/>
              </w:rPr>
            </w:pPr>
          </w:p>
        </w:tc>
      </w:tr>
      <w:tr w:rsidR="00C4070C" w:rsidRPr="00F558F4" w14:paraId="11B2F2B6" w14:textId="77777777" w:rsidTr="00933DD7">
        <w:trPr>
          <w:trHeight w:val="20"/>
        </w:trPr>
        <w:tc>
          <w:tcPr>
            <w:tcW w:w="5351" w:type="dxa"/>
          </w:tcPr>
          <w:p w14:paraId="473A62A4" w14:textId="77777777" w:rsidR="00C4070C" w:rsidRPr="00EB29E7" w:rsidRDefault="00E90D57" w:rsidP="00C4070C">
            <w:pPr>
              <w:rPr>
                <w:rFonts w:cs="Arial"/>
                <w:sz w:val="22"/>
                <w:szCs w:val="22"/>
                <w:lang w:val="fr-FR"/>
              </w:rPr>
            </w:pPr>
            <w:r w:rsidRPr="00BB3269">
              <w:rPr>
                <w:rFonts w:cs="Arial"/>
                <w:b/>
                <w:sz w:val="22"/>
                <w:szCs w:val="22"/>
                <w:lang w:val="fr-FR"/>
              </w:rPr>
              <w:t>§2</w:t>
            </w:r>
            <w:r w:rsidRPr="00EB29E7">
              <w:rPr>
                <w:rFonts w:cs="Arial"/>
                <w:sz w:val="22"/>
                <w:szCs w:val="22"/>
                <w:lang w:val="fr-FR"/>
              </w:rPr>
              <w:t>.</w:t>
            </w:r>
            <w:r w:rsidR="00FA1271" w:rsidRPr="00EB29E7">
              <w:rPr>
                <w:rFonts w:cs="Arial"/>
                <w:sz w:val="22"/>
                <w:szCs w:val="22"/>
                <w:lang w:val="fr-FR"/>
              </w:rPr>
              <w:t>Par “travailleurs” on entend les ouvriers et ouvrières relevant de la catégorie ONSS 083.</w:t>
            </w:r>
          </w:p>
        </w:tc>
        <w:tc>
          <w:tcPr>
            <w:tcW w:w="285" w:type="dxa"/>
          </w:tcPr>
          <w:p w14:paraId="25E6FB35" w14:textId="77777777" w:rsidR="00C4070C" w:rsidRPr="00EB29E7" w:rsidRDefault="00C4070C" w:rsidP="00C4070C">
            <w:pPr>
              <w:jc w:val="both"/>
              <w:rPr>
                <w:rFonts w:cs="Arial"/>
                <w:sz w:val="22"/>
                <w:szCs w:val="22"/>
                <w:lang w:val="fr-FR"/>
              </w:rPr>
            </w:pPr>
          </w:p>
        </w:tc>
        <w:tc>
          <w:tcPr>
            <w:tcW w:w="5353" w:type="dxa"/>
          </w:tcPr>
          <w:p w14:paraId="293FDAA0" w14:textId="77777777" w:rsidR="00C4070C" w:rsidRPr="00EB29E7" w:rsidRDefault="00C4070C" w:rsidP="00C4070C">
            <w:pPr>
              <w:jc w:val="both"/>
              <w:rPr>
                <w:rFonts w:cs="Arial"/>
                <w:sz w:val="22"/>
                <w:szCs w:val="22"/>
                <w:lang w:val="nl-BE"/>
              </w:rPr>
            </w:pPr>
            <w:r w:rsidRPr="00EB29E7">
              <w:rPr>
                <w:rFonts w:cs="Arial"/>
                <w:b/>
                <w:sz w:val="22"/>
                <w:szCs w:val="22"/>
                <w:lang w:val="nl-BE"/>
              </w:rPr>
              <w:t>§2</w:t>
            </w:r>
            <w:r w:rsidRPr="00EB29E7">
              <w:rPr>
                <w:rFonts w:cs="Arial"/>
                <w:sz w:val="22"/>
                <w:szCs w:val="22"/>
                <w:lang w:val="nl-BE"/>
              </w:rPr>
              <w:t>. Onder “werknemers”, wordt verstaan de arbeiders en arbeidsters, aangegeven in de RSZ-categorie 083 .</w:t>
            </w:r>
          </w:p>
        </w:tc>
      </w:tr>
      <w:tr w:rsidR="00C4070C" w:rsidRPr="00EB29E7" w14:paraId="55CA5898" w14:textId="77777777" w:rsidTr="00933DD7">
        <w:trPr>
          <w:trHeight w:val="20"/>
        </w:trPr>
        <w:tc>
          <w:tcPr>
            <w:tcW w:w="5351" w:type="dxa"/>
          </w:tcPr>
          <w:p w14:paraId="1915E7A4" w14:textId="77777777" w:rsidR="00C4070C" w:rsidRPr="00EB29E7" w:rsidRDefault="00C4070C" w:rsidP="00C4070C">
            <w:pPr>
              <w:jc w:val="center"/>
              <w:rPr>
                <w:rFonts w:cs="Arial"/>
                <w:b/>
                <w:bCs/>
                <w:sz w:val="22"/>
                <w:szCs w:val="22"/>
                <w:lang w:val="fr-BE"/>
              </w:rPr>
            </w:pPr>
            <w:r w:rsidRPr="00BB3269">
              <w:rPr>
                <w:rFonts w:cs="Arial"/>
                <w:b/>
                <w:bCs/>
                <w:sz w:val="22"/>
                <w:szCs w:val="22"/>
                <w:lang w:val="fr-BE"/>
              </w:rPr>
              <w:t xml:space="preserve">CHAPITRE II. – </w:t>
            </w:r>
            <w:r w:rsidRPr="00EB29E7">
              <w:rPr>
                <w:rFonts w:cs="Arial"/>
                <w:b/>
                <w:bCs/>
                <w:i/>
                <w:sz w:val="22"/>
                <w:szCs w:val="22"/>
                <w:lang w:val="fr-BE"/>
              </w:rPr>
              <w:t>Cadre légal</w:t>
            </w:r>
          </w:p>
        </w:tc>
        <w:tc>
          <w:tcPr>
            <w:tcW w:w="285" w:type="dxa"/>
          </w:tcPr>
          <w:p w14:paraId="786448E7" w14:textId="77777777" w:rsidR="00C4070C" w:rsidRPr="00EB29E7" w:rsidRDefault="00C4070C" w:rsidP="00C4070C">
            <w:pPr>
              <w:jc w:val="both"/>
              <w:rPr>
                <w:rFonts w:cs="Arial"/>
                <w:sz w:val="22"/>
                <w:szCs w:val="22"/>
              </w:rPr>
            </w:pPr>
          </w:p>
        </w:tc>
        <w:tc>
          <w:tcPr>
            <w:tcW w:w="5353" w:type="dxa"/>
          </w:tcPr>
          <w:p w14:paraId="3A4DCD50" w14:textId="77777777" w:rsidR="00C4070C" w:rsidRPr="00EB29E7" w:rsidRDefault="00B7333F" w:rsidP="00C4070C">
            <w:pPr>
              <w:jc w:val="center"/>
              <w:rPr>
                <w:rFonts w:cs="Arial"/>
                <w:b/>
                <w:bCs/>
                <w:sz w:val="22"/>
                <w:szCs w:val="22"/>
                <w:lang w:val="nl-BE"/>
              </w:rPr>
            </w:pPr>
            <w:r w:rsidRPr="00EB29E7">
              <w:rPr>
                <w:rFonts w:cs="Arial"/>
                <w:b/>
                <w:bCs/>
                <w:sz w:val="22"/>
                <w:szCs w:val="22"/>
                <w:lang w:val="nl-BE"/>
              </w:rPr>
              <w:t>HOOFDSTUK</w:t>
            </w:r>
            <w:r w:rsidR="00C4070C" w:rsidRPr="00EB29E7">
              <w:rPr>
                <w:rFonts w:cs="Arial"/>
                <w:b/>
                <w:bCs/>
                <w:sz w:val="22"/>
                <w:szCs w:val="22"/>
                <w:lang w:val="nl-BE"/>
              </w:rPr>
              <w:t xml:space="preserve"> II. – </w:t>
            </w:r>
            <w:r w:rsidRPr="00EB29E7">
              <w:rPr>
                <w:rFonts w:cs="Arial"/>
                <w:b/>
                <w:bCs/>
                <w:i/>
                <w:sz w:val="22"/>
                <w:szCs w:val="22"/>
                <w:lang w:val="nl-BE"/>
              </w:rPr>
              <w:t>Juridisch kader</w:t>
            </w:r>
          </w:p>
        </w:tc>
      </w:tr>
      <w:tr w:rsidR="00C4070C" w:rsidRPr="00EB29E7" w14:paraId="29E71218" w14:textId="77777777" w:rsidTr="00933DD7">
        <w:trPr>
          <w:trHeight w:val="20"/>
        </w:trPr>
        <w:tc>
          <w:tcPr>
            <w:tcW w:w="5351" w:type="dxa"/>
          </w:tcPr>
          <w:p w14:paraId="4EB59396" w14:textId="77777777" w:rsidR="00C4070C" w:rsidRPr="00BB3269" w:rsidRDefault="00C4070C" w:rsidP="00C4070C">
            <w:pPr>
              <w:jc w:val="both"/>
              <w:rPr>
                <w:rFonts w:cs="Arial"/>
                <w:sz w:val="22"/>
                <w:szCs w:val="22"/>
                <w:lang w:val="fr-BE"/>
              </w:rPr>
            </w:pPr>
          </w:p>
        </w:tc>
        <w:tc>
          <w:tcPr>
            <w:tcW w:w="285" w:type="dxa"/>
          </w:tcPr>
          <w:p w14:paraId="26EBCF90" w14:textId="77777777" w:rsidR="00C4070C" w:rsidRPr="00EB29E7" w:rsidRDefault="00C4070C" w:rsidP="00C4070C">
            <w:pPr>
              <w:jc w:val="both"/>
              <w:rPr>
                <w:rFonts w:cs="Arial"/>
                <w:sz w:val="22"/>
                <w:szCs w:val="22"/>
                <w:lang w:val="nl-NL"/>
              </w:rPr>
            </w:pPr>
          </w:p>
        </w:tc>
        <w:tc>
          <w:tcPr>
            <w:tcW w:w="5353" w:type="dxa"/>
          </w:tcPr>
          <w:p w14:paraId="3F869AA2" w14:textId="77777777" w:rsidR="00C4070C" w:rsidRPr="00EB29E7" w:rsidRDefault="00C4070C" w:rsidP="00C4070C">
            <w:pPr>
              <w:jc w:val="both"/>
              <w:rPr>
                <w:rFonts w:cs="Arial"/>
                <w:sz w:val="22"/>
                <w:szCs w:val="22"/>
                <w:lang w:val="nl-BE"/>
              </w:rPr>
            </w:pPr>
          </w:p>
        </w:tc>
      </w:tr>
      <w:tr w:rsidR="00C4070C" w:rsidRPr="00F558F4" w14:paraId="60190D40" w14:textId="77777777" w:rsidTr="00933DD7">
        <w:trPr>
          <w:trHeight w:val="20"/>
        </w:trPr>
        <w:tc>
          <w:tcPr>
            <w:tcW w:w="5351" w:type="dxa"/>
          </w:tcPr>
          <w:p w14:paraId="20ADE302" w14:textId="1848F627" w:rsidR="00C4070C" w:rsidRPr="00EB29E7" w:rsidRDefault="00C4070C" w:rsidP="00C4070C">
            <w:pPr>
              <w:jc w:val="both"/>
              <w:rPr>
                <w:rFonts w:cs="Arial"/>
                <w:sz w:val="22"/>
                <w:szCs w:val="22"/>
                <w:lang w:val="fr-BE"/>
              </w:rPr>
            </w:pPr>
            <w:r w:rsidRPr="00BB3269">
              <w:rPr>
                <w:rFonts w:cs="Arial"/>
                <w:b/>
                <w:bCs/>
                <w:sz w:val="22"/>
                <w:szCs w:val="22"/>
                <w:lang w:val="fr-FR"/>
              </w:rPr>
              <w:t>Art.2</w:t>
            </w:r>
            <w:r w:rsidR="00B93748">
              <w:rPr>
                <w:rFonts w:cs="Arial"/>
                <w:sz w:val="22"/>
                <w:szCs w:val="22"/>
                <w:lang w:val="fr-BE"/>
              </w:rPr>
              <w:t xml:space="preserve"> : </w:t>
            </w:r>
            <w:r w:rsidR="00CE21BD">
              <w:rPr>
                <w:rFonts w:cs="Arial"/>
                <w:sz w:val="22"/>
                <w:szCs w:val="22"/>
                <w:lang w:val="fr-BE"/>
              </w:rPr>
              <w:t xml:space="preserve">La présente CCT est conclue </w:t>
            </w:r>
            <w:r w:rsidR="00C41A68">
              <w:rPr>
                <w:rFonts w:cs="Arial"/>
                <w:sz w:val="22"/>
                <w:szCs w:val="22"/>
                <w:lang w:val="fr-BE"/>
              </w:rPr>
              <w:t>en exécution de l’accord sectoriel du 7 octobre 2021 et dans le cadre de l</w:t>
            </w:r>
            <w:r w:rsidR="001257BE">
              <w:rPr>
                <w:rFonts w:cs="Arial"/>
                <w:sz w:val="22"/>
                <w:szCs w:val="22"/>
                <w:lang w:val="fr-BE"/>
              </w:rPr>
              <w:t>’</w:t>
            </w:r>
            <w:r w:rsidR="00C41A68">
              <w:rPr>
                <w:rFonts w:cs="Arial"/>
                <w:sz w:val="22"/>
                <w:szCs w:val="22"/>
                <w:lang w:val="fr-BE"/>
              </w:rPr>
              <w:t xml:space="preserve">arrêté royal du 21 juillet 2021 modifiant l’article 19quinquies de l’arrêté royal du 28 novembre 1969 pris en exécution de la loi du 27 juin 1969 révisant l’arrêté-loi du 28 décembre 1944 concernant la sécurité sociale des travailleurs. </w:t>
            </w:r>
          </w:p>
        </w:tc>
        <w:tc>
          <w:tcPr>
            <w:tcW w:w="285" w:type="dxa"/>
          </w:tcPr>
          <w:p w14:paraId="49EA97B9" w14:textId="1ABD4B5A" w:rsidR="00C4070C" w:rsidRPr="00EB29E7" w:rsidRDefault="00C4070C" w:rsidP="00C4070C">
            <w:pPr>
              <w:jc w:val="both"/>
              <w:rPr>
                <w:rFonts w:cs="Arial"/>
                <w:sz w:val="22"/>
                <w:szCs w:val="22"/>
                <w:lang w:val="fr-BE"/>
              </w:rPr>
            </w:pPr>
          </w:p>
        </w:tc>
        <w:tc>
          <w:tcPr>
            <w:tcW w:w="5353" w:type="dxa"/>
          </w:tcPr>
          <w:p w14:paraId="47CB5F6F" w14:textId="18EE1FA9" w:rsidR="00C4070C" w:rsidRPr="00EB29E7" w:rsidRDefault="00C4070C" w:rsidP="00C4070C">
            <w:pPr>
              <w:jc w:val="both"/>
              <w:rPr>
                <w:rFonts w:cs="Arial"/>
                <w:sz w:val="22"/>
                <w:szCs w:val="22"/>
                <w:lang w:val="nl-BE"/>
              </w:rPr>
            </w:pPr>
            <w:r w:rsidRPr="00EB29E7">
              <w:rPr>
                <w:rFonts w:cs="Arial"/>
                <w:b/>
                <w:bCs/>
                <w:sz w:val="22"/>
                <w:szCs w:val="22"/>
                <w:lang w:val="nl-BE"/>
              </w:rPr>
              <w:t>Art.2.</w:t>
            </w:r>
            <w:r w:rsidRPr="00EB29E7">
              <w:rPr>
                <w:rFonts w:cs="Arial"/>
                <w:sz w:val="22"/>
                <w:szCs w:val="22"/>
                <w:lang w:val="nl-BE"/>
              </w:rPr>
              <w:t xml:space="preserve">: Deze CAO is gesloten in  uitvoering van het sectorakkoord dd. </w:t>
            </w:r>
            <w:r w:rsidR="00C26C34" w:rsidRPr="00EB29E7">
              <w:rPr>
                <w:rFonts w:cs="Arial"/>
                <w:sz w:val="22"/>
                <w:szCs w:val="22"/>
                <w:lang w:val="nl-BE"/>
              </w:rPr>
              <w:t xml:space="preserve"> 07</w:t>
            </w:r>
            <w:r w:rsidR="00F978EB" w:rsidRPr="00EB29E7">
              <w:rPr>
                <w:rFonts w:cs="Arial"/>
                <w:sz w:val="22"/>
                <w:szCs w:val="22"/>
                <w:lang w:val="nl-BE"/>
              </w:rPr>
              <w:t xml:space="preserve"> oktober </w:t>
            </w:r>
            <w:r w:rsidR="00C26C34" w:rsidRPr="00EB29E7">
              <w:rPr>
                <w:rFonts w:cs="Arial"/>
                <w:sz w:val="22"/>
                <w:szCs w:val="22"/>
                <w:lang w:val="nl-BE"/>
              </w:rPr>
              <w:t>2021</w:t>
            </w:r>
            <w:r w:rsidR="009E6AF1" w:rsidRPr="00EB29E7">
              <w:rPr>
                <w:rFonts w:cs="Arial"/>
                <w:sz w:val="22"/>
                <w:szCs w:val="22"/>
                <w:lang w:val="nl-BE"/>
              </w:rPr>
              <w:t xml:space="preserve"> en binnen het  kader van</w:t>
            </w:r>
            <w:r w:rsidR="009E6AF1" w:rsidRPr="00EB29E7">
              <w:rPr>
                <w:rFonts w:cs="Arial"/>
                <w:color w:val="000000"/>
                <w:sz w:val="22"/>
                <w:szCs w:val="22"/>
                <w:lang w:val="nl-BE"/>
              </w:rPr>
              <w:t xml:space="preserve"> het Koninklijk besluit van 21 </w:t>
            </w:r>
            <w:r w:rsidR="00F978EB" w:rsidRPr="00EB29E7">
              <w:rPr>
                <w:rFonts w:cs="Arial"/>
                <w:color w:val="000000"/>
                <w:sz w:val="22"/>
                <w:szCs w:val="22"/>
                <w:lang w:val="nl-BE"/>
              </w:rPr>
              <w:t xml:space="preserve">juli </w:t>
            </w:r>
            <w:r w:rsidR="009E6AF1" w:rsidRPr="00EB29E7">
              <w:rPr>
                <w:rFonts w:cs="Arial"/>
                <w:color w:val="000000"/>
                <w:sz w:val="22"/>
                <w:szCs w:val="22"/>
                <w:lang w:val="nl-BE"/>
              </w:rPr>
              <w:t>2021 tot wijziging van artikel 19quinquies van het koninklijk besluit van 28 november 1969 tot uitvoering van de wet van 27 juni 1969 tot herziening van de besluitwet van 28 december 1944 betreffende de maatschappelijke zekerheid der arbeiders.</w:t>
            </w:r>
          </w:p>
        </w:tc>
      </w:tr>
      <w:tr w:rsidR="00C4070C" w:rsidRPr="00F558F4" w14:paraId="6BC4AF5B" w14:textId="77777777" w:rsidTr="00933DD7">
        <w:trPr>
          <w:trHeight w:val="20"/>
        </w:trPr>
        <w:tc>
          <w:tcPr>
            <w:tcW w:w="5351" w:type="dxa"/>
          </w:tcPr>
          <w:p w14:paraId="3C1E279E" w14:textId="77777777" w:rsidR="00C4070C" w:rsidRPr="00BB3269" w:rsidRDefault="00C4070C" w:rsidP="00C4070C">
            <w:pPr>
              <w:jc w:val="both"/>
              <w:rPr>
                <w:rFonts w:cs="Arial"/>
                <w:sz w:val="22"/>
                <w:szCs w:val="22"/>
                <w:lang w:val="nl-BE"/>
              </w:rPr>
            </w:pPr>
          </w:p>
        </w:tc>
        <w:tc>
          <w:tcPr>
            <w:tcW w:w="285" w:type="dxa"/>
          </w:tcPr>
          <w:p w14:paraId="6BE2AA4B" w14:textId="77777777" w:rsidR="00C4070C" w:rsidRPr="00EB29E7" w:rsidRDefault="00C4070C" w:rsidP="00C4070C">
            <w:pPr>
              <w:jc w:val="both"/>
              <w:rPr>
                <w:rFonts w:cs="Arial"/>
                <w:sz w:val="22"/>
                <w:szCs w:val="22"/>
                <w:lang w:val="nl-BE"/>
              </w:rPr>
            </w:pPr>
          </w:p>
        </w:tc>
        <w:tc>
          <w:tcPr>
            <w:tcW w:w="5353" w:type="dxa"/>
          </w:tcPr>
          <w:p w14:paraId="71ABED8A" w14:textId="77777777" w:rsidR="00C4070C" w:rsidRPr="00EB29E7" w:rsidRDefault="00C4070C" w:rsidP="00C4070C">
            <w:pPr>
              <w:jc w:val="both"/>
              <w:rPr>
                <w:rFonts w:cs="Arial"/>
                <w:sz w:val="22"/>
                <w:szCs w:val="22"/>
                <w:lang w:val="nl-BE"/>
              </w:rPr>
            </w:pPr>
          </w:p>
        </w:tc>
      </w:tr>
      <w:tr w:rsidR="008A5AE8" w:rsidRPr="00F558F4" w14:paraId="609EA9A7" w14:textId="77777777" w:rsidTr="00933DD7">
        <w:trPr>
          <w:trHeight w:val="20"/>
        </w:trPr>
        <w:tc>
          <w:tcPr>
            <w:tcW w:w="5351" w:type="dxa"/>
          </w:tcPr>
          <w:p w14:paraId="6422790C" w14:textId="77777777" w:rsidR="008A5AE8" w:rsidRPr="00BB3269" w:rsidRDefault="008A5AE8" w:rsidP="00C4070C">
            <w:pPr>
              <w:jc w:val="both"/>
              <w:rPr>
                <w:rFonts w:cs="Arial"/>
                <w:sz w:val="22"/>
                <w:szCs w:val="22"/>
                <w:lang w:val="nl-BE"/>
              </w:rPr>
            </w:pPr>
          </w:p>
        </w:tc>
        <w:tc>
          <w:tcPr>
            <w:tcW w:w="285" w:type="dxa"/>
          </w:tcPr>
          <w:p w14:paraId="198AA2EB" w14:textId="77777777" w:rsidR="008A5AE8" w:rsidRPr="00EB29E7" w:rsidRDefault="008A5AE8" w:rsidP="00C4070C">
            <w:pPr>
              <w:jc w:val="both"/>
              <w:rPr>
                <w:rFonts w:cs="Arial"/>
                <w:sz w:val="22"/>
                <w:szCs w:val="22"/>
                <w:lang w:val="nl-BE"/>
              </w:rPr>
            </w:pPr>
          </w:p>
        </w:tc>
        <w:tc>
          <w:tcPr>
            <w:tcW w:w="5353" w:type="dxa"/>
          </w:tcPr>
          <w:p w14:paraId="7698D7E0" w14:textId="77777777" w:rsidR="008A5AE8" w:rsidRPr="00EB29E7" w:rsidRDefault="008A5AE8" w:rsidP="00C4070C">
            <w:pPr>
              <w:jc w:val="both"/>
              <w:rPr>
                <w:rFonts w:cs="Arial"/>
                <w:sz w:val="22"/>
                <w:szCs w:val="22"/>
                <w:lang w:val="nl-BE"/>
              </w:rPr>
            </w:pPr>
          </w:p>
        </w:tc>
      </w:tr>
      <w:tr w:rsidR="00C4070C" w:rsidRPr="00F558F4" w14:paraId="167709CC" w14:textId="77777777" w:rsidTr="00933DD7">
        <w:trPr>
          <w:trHeight w:val="20"/>
        </w:trPr>
        <w:tc>
          <w:tcPr>
            <w:tcW w:w="5351" w:type="dxa"/>
          </w:tcPr>
          <w:p w14:paraId="7388295F" w14:textId="4334E752" w:rsidR="00C4070C" w:rsidRPr="00EB29E7" w:rsidRDefault="00C4070C" w:rsidP="00C45DBF">
            <w:pPr>
              <w:jc w:val="both"/>
              <w:rPr>
                <w:rFonts w:cs="Arial"/>
                <w:b/>
                <w:sz w:val="22"/>
                <w:szCs w:val="22"/>
                <w:lang w:val="fr-FR"/>
              </w:rPr>
            </w:pPr>
            <w:r w:rsidRPr="00BB3269">
              <w:rPr>
                <w:rFonts w:cs="Arial"/>
                <w:b/>
                <w:sz w:val="22"/>
                <w:szCs w:val="22"/>
                <w:lang w:val="fr-FR"/>
              </w:rPr>
              <w:t>CHAPITRE III</w:t>
            </w:r>
            <w:r w:rsidR="00741F99" w:rsidRPr="00EB29E7">
              <w:rPr>
                <w:rFonts w:cs="Arial"/>
                <w:b/>
                <w:sz w:val="22"/>
                <w:szCs w:val="22"/>
                <w:lang w:val="fr-FR"/>
              </w:rPr>
              <w:t> .</w:t>
            </w:r>
            <w:r w:rsidR="00ED656E" w:rsidRPr="00EB29E7">
              <w:rPr>
                <w:rFonts w:cs="Arial"/>
                <w:b/>
                <w:sz w:val="22"/>
                <w:szCs w:val="22"/>
                <w:lang w:val="fr-FR"/>
              </w:rPr>
              <w:t>-</w:t>
            </w:r>
            <w:r w:rsidR="00ED656E" w:rsidRPr="00EB29E7">
              <w:rPr>
                <w:rFonts w:cs="Arial"/>
                <w:b/>
                <w:i/>
                <w:sz w:val="22"/>
                <w:szCs w:val="22"/>
                <w:lang w:val="fr-FR"/>
              </w:rPr>
              <w:t>Octroi d’un</w:t>
            </w:r>
            <w:r w:rsidR="009E6AF1" w:rsidRPr="00EB29E7">
              <w:rPr>
                <w:rFonts w:cs="Arial"/>
                <w:b/>
                <w:i/>
                <w:sz w:val="22"/>
                <w:szCs w:val="22"/>
                <w:lang w:val="fr-FR"/>
              </w:rPr>
              <w:t>e prime corona</w:t>
            </w:r>
            <w:r w:rsidR="00ED656E" w:rsidRPr="00EB29E7">
              <w:rPr>
                <w:rFonts w:cs="Arial"/>
                <w:b/>
                <w:i/>
                <w:sz w:val="22"/>
                <w:szCs w:val="22"/>
                <w:lang w:val="fr-FR"/>
              </w:rPr>
              <w:t xml:space="preserve"> unique</w:t>
            </w:r>
          </w:p>
        </w:tc>
        <w:tc>
          <w:tcPr>
            <w:tcW w:w="285" w:type="dxa"/>
          </w:tcPr>
          <w:p w14:paraId="49A81055" w14:textId="77777777" w:rsidR="00C4070C" w:rsidRPr="00EB29E7" w:rsidRDefault="00C4070C" w:rsidP="00C4070C">
            <w:pPr>
              <w:jc w:val="both"/>
              <w:rPr>
                <w:rFonts w:cs="Arial"/>
                <w:sz w:val="22"/>
                <w:szCs w:val="22"/>
                <w:lang w:val="fr-FR"/>
              </w:rPr>
            </w:pPr>
          </w:p>
        </w:tc>
        <w:tc>
          <w:tcPr>
            <w:tcW w:w="5353" w:type="dxa"/>
          </w:tcPr>
          <w:p w14:paraId="4F87593B" w14:textId="4FF4933F" w:rsidR="00C4070C" w:rsidRPr="00EB29E7" w:rsidRDefault="00C4070C" w:rsidP="00C4070C">
            <w:pPr>
              <w:jc w:val="both"/>
              <w:rPr>
                <w:rFonts w:cs="Arial"/>
                <w:sz w:val="22"/>
                <w:szCs w:val="22"/>
                <w:lang w:val="nl-BE"/>
              </w:rPr>
            </w:pPr>
            <w:r w:rsidRPr="00EB29E7">
              <w:rPr>
                <w:rFonts w:cs="Arial"/>
                <w:b/>
                <w:sz w:val="22"/>
                <w:szCs w:val="22"/>
                <w:lang w:val="nl-BE"/>
              </w:rPr>
              <w:t>HOOFDSTUK III</w:t>
            </w:r>
            <w:r w:rsidR="00423605" w:rsidRPr="00EB29E7">
              <w:rPr>
                <w:rFonts w:cs="Arial"/>
                <w:b/>
                <w:bCs/>
                <w:sz w:val="22"/>
                <w:szCs w:val="22"/>
                <w:lang w:val="nl-BE"/>
              </w:rPr>
              <w:t xml:space="preserve">. – </w:t>
            </w:r>
            <w:r w:rsidRPr="00EB29E7">
              <w:rPr>
                <w:rFonts w:cs="Arial"/>
                <w:b/>
                <w:i/>
                <w:sz w:val="22"/>
                <w:szCs w:val="22"/>
                <w:lang w:val="nl-BE"/>
              </w:rPr>
              <w:t xml:space="preserve">Toekenning van een éénmalige </w:t>
            </w:r>
            <w:r w:rsidR="009E6AF1" w:rsidRPr="00EB29E7">
              <w:rPr>
                <w:rFonts w:cs="Arial"/>
                <w:b/>
                <w:i/>
                <w:sz w:val="22"/>
                <w:szCs w:val="22"/>
                <w:lang w:val="nl-BE"/>
              </w:rPr>
              <w:t>coronapremie</w:t>
            </w:r>
          </w:p>
        </w:tc>
      </w:tr>
      <w:tr w:rsidR="00C4070C" w:rsidRPr="00F558F4" w14:paraId="0E4E2231" w14:textId="77777777" w:rsidTr="00933DD7">
        <w:trPr>
          <w:trHeight w:val="20"/>
        </w:trPr>
        <w:tc>
          <w:tcPr>
            <w:tcW w:w="5351" w:type="dxa"/>
          </w:tcPr>
          <w:p w14:paraId="6FBF9705" w14:textId="77777777" w:rsidR="00C4070C" w:rsidRPr="00BB3269" w:rsidRDefault="00C4070C" w:rsidP="00C4070C">
            <w:pPr>
              <w:jc w:val="both"/>
              <w:rPr>
                <w:rFonts w:cs="Arial"/>
                <w:b/>
                <w:sz w:val="22"/>
                <w:szCs w:val="22"/>
                <w:lang w:val="nl-BE"/>
              </w:rPr>
            </w:pPr>
          </w:p>
        </w:tc>
        <w:tc>
          <w:tcPr>
            <w:tcW w:w="285" w:type="dxa"/>
          </w:tcPr>
          <w:p w14:paraId="241198B3" w14:textId="77777777" w:rsidR="00C4070C" w:rsidRPr="00EB29E7" w:rsidRDefault="00C4070C" w:rsidP="00C4070C">
            <w:pPr>
              <w:jc w:val="both"/>
              <w:rPr>
                <w:rFonts w:cs="Arial"/>
                <w:sz w:val="22"/>
                <w:szCs w:val="22"/>
                <w:lang w:val="nl-BE"/>
              </w:rPr>
            </w:pPr>
          </w:p>
        </w:tc>
        <w:tc>
          <w:tcPr>
            <w:tcW w:w="5353" w:type="dxa"/>
          </w:tcPr>
          <w:p w14:paraId="521BC47F" w14:textId="77777777" w:rsidR="00C4070C" w:rsidRPr="00EB29E7" w:rsidRDefault="00C4070C" w:rsidP="00C4070C">
            <w:pPr>
              <w:jc w:val="both"/>
              <w:rPr>
                <w:rFonts w:cs="Arial"/>
                <w:b/>
                <w:sz w:val="22"/>
                <w:szCs w:val="22"/>
                <w:lang w:val="nl-BE"/>
              </w:rPr>
            </w:pPr>
          </w:p>
        </w:tc>
      </w:tr>
      <w:tr w:rsidR="00C4070C" w:rsidRPr="00F558F4" w14:paraId="76D27F32" w14:textId="77777777" w:rsidTr="00933DD7">
        <w:trPr>
          <w:trHeight w:val="20"/>
        </w:trPr>
        <w:tc>
          <w:tcPr>
            <w:tcW w:w="5351" w:type="dxa"/>
          </w:tcPr>
          <w:p w14:paraId="35B8CC58" w14:textId="26D4868F" w:rsidR="00C4070C" w:rsidRPr="00C41A68" w:rsidRDefault="00C41A68" w:rsidP="005F69CB">
            <w:pPr>
              <w:jc w:val="both"/>
              <w:rPr>
                <w:rFonts w:cs="Arial"/>
                <w:sz w:val="22"/>
                <w:szCs w:val="22"/>
                <w:lang w:val="fr-BE"/>
              </w:rPr>
            </w:pPr>
            <w:r w:rsidRPr="008F1813">
              <w:rPr>
                <w:rFonts w:cs="Arial"/>
                <w:b/>
                <w:sz w:val="22"/>
                <w:szCs w:val="22"/>
                <w:lang w:val="fr-BE"/>
              </w:rPr>
              <w:t xml:space="preserve">Art.3. </w:t>
            </w:r>
            <w:r w:rsidRPr="00C41A68">
              <w:rPr>
                <w:rFonts w:cs="Arial"/>
                <w:b/>
                <w:sz w:val="22"/>
                <w:szCs w:val="22"/>
                <w:lang w:val="fr-BE"/>
              </w:rPr>
              <w:t xml:space="preserve">§1er. </w:t>
            </w:r>
            <w:r w:rsidRPr="00C41A68">
              <w:rPr>
                <w:rFonts w:cs="Arial"/>
                <w:bCs/>
                <w:sz w:val="22"/>
                <w:szCs w:val="22"/>
                <w:lang w:val="fr-BE"/>
              </w:rPr>
              <w:t xml:space="preserve">Une prime corona unique sous la forme de chèques consommation </w:t>
            </w:r>
            <w:r w:rsidR="001257BE">
              <w:rPr>
                <w:rFonts w:cs="Arial"/>
                <w:bCs/>
                <w:sz w:val="22"/>
                <w:szCs w:val="22"/>
                <w:lang w:val="fr-BE"/>
              </w:rPr>
              <w:t xml:space="preserve">format </w:t>
            </w:r>
            <w:r w:rsidRPr="00C41A68">
              <w:rPr>
                <w:rFonts w:cs="Arial"/>
                <w:bCs/>
                <w:sz w:val="22"/>
                <w:szCs w:val="22"/>
                <w:lang w:val="fr-BE"/>
              </w:rPr>
              <w:t xml:space="preserve">papier ou électronique d’un montant de </w:t>
            </w:r>
            <w:r w:rsidRPr="00C41A68">
              <w:rPr>
                <w:rFonts w:cs="Arial"/>
                <w:b/>
                <w:sz w:val="22"/>
                <w:szCs w:val="22"/>
                <w:lang w:val="fr-BE"/>
              </w:rPr>
              <w:t>250 euros</w:t>
            </w:r>
            <w:r w:rsidRPr="00C41A68">
              <w:rPr>
                <w:rFonts w:cs="Arial"/>
                <w:bCs/>
                <w:sz w:val="22"/>
                <w:szCs w:val="22"/>
                <w:lang w:val="fr-BE"/>
              </w:rPr>
              <w:t xml:space="preserve"> est octroyé</w:t>
            </w:r>
            <w:r w:rsidR="003C2C51">
              <w:rPr>
                <w:rFonts w:cs="Arial"/>
                <w:bCs/>
                <w:sz w:val="22"/>
                <w:szCs w:val="22"/>
                <w:lang w:val="fr-BE"/>
              </w:rPr>
              <w:t>e</w:t>
            </w:r>
            <w:r w:rsidRPr="00C41A68">
              <w:rPr>
                <w:rFonts w:cs="Arial"/>
                <w:bCs/>
                <w:sz w:val="22"/>
                <w:szCs w:val="22"/>
                <w:lang w:val="fr-BE"/>
              </w:rPr>
              <w:t xml:space="preserve"> aux travailleurs qui sont occupés dans l’entreprise le 30 novembre 2021 et qui, au cours de la </w:t>
            </w:r>
            <w:r>
              <w:rPr>
                <w:rFonts w:cs="Arial"/>
                <w:bCs/>
                <w:sz w:val="22"/>
                <w:szCs w:val="22"/>
                <w:lang w:val="fr-BE"/>
              </w:rPr>
              <w:t xml:space="preserve">période du </w:t>
            </w:r>
            <w:r w:rsidRPr="00C41A68">
              <w:rPr>
                <w:rFonts w:cs="Arial"/>
                <w:bCs/>
                <w:sz w:val="22"/>
                <w:szCs w:val="22"/>
                <w:lang w:val="fr-BE"/>
              </w:rPr>
              <w:t>1</w:t>
            </w:r>
            <w:r w:rsidRPr="00C41A68">
              <w:rPr>
                <w:rFonts w:cs="Arial"/>
                <w:bCs/>
                <w:sz w:val="22"/>
                <w:szCs w:val="22"/>
                <w:vertAlign w:val="superscript"/>
                <w:lang w:val="fr-BE"/>
              </w:rPr>
              <w:t>er</w:t>
            </w:r>
            <w:r>
              <w:rPr>
                <w:rFonts w:cs="Arial"/>
                <w:bCs/>
                <w:sz w:val="22"/>
                <w:szCs w:val="22"/>
                <w:lang w:val="fr-BE"/>
              </w:rPr>
              <w:t xml:space="preserve"> mars</w:t>
            </w:r>
            <w:r w:rsidRPr="00C41A68">
              <w:rPr>
                <w:rFonts w:cs="Arial"/>
                <w:bCs/>
                <w:sz w:val="22"/>
                <w:szCs w:val="22"/>
                <w:lang w:val="fr-BE"/>
              </w:rPr>
              <w:t xml:space="preserve"> 2020 </w:t>
            </w:r>
            <w:r>
              <w:rPr>
                <w:rFonts w:cs="Arial"/>
                <w:bCs/>
                <w:sz w:val="22"/>
                <w:szCs w:val="22"/>
                <w:lang w:val="fr-BE"/>
              </w:rPr>
              <w:t xml:space="preserve">au </w:t>
            </w:r>
            <w:r w:rsidRPr="00C41A68">
              <w:rPr>
                <w:rFonts w:cs="Arial"/>
                <w:bCs/>
                <w:sz w:val="22"/>
                <w:szCs w:val="22"/>
                <w:lang w:val="fr-BE"/>
              </w:rPr>
              <w:t>31 m</w:t>
            </w:r>
            <w:r>
              <w:rPr>
                <w:rFonts w:cs="Arial"/>
                <w:bCs/>
                <w:sz w:val="22"/>
                <w:szCs w:val="22"/>
                <w:lang w:val="fr-BE"/>
              </w:rPr>
              <w:t>a</w:t>
            </w:r>
            <w:r w:rsidRPr="00C41A68">
              <w:rPr>
                <w:rFonts w:cs="Arial"/>
                <w:bCs/>
                <w:sz w:val="22"/>
                <w:szCs w:val="22"/>
                <w:lang w:val="fr-BE"/>
              </w:rPr>
              <w:t>i 2021</w:t>
            </w:r>
            <w:r>
              <w:rPr>
                <w:rFonts w:cs="Arial"/>
                <w:bCs/>
                <w:sz w:val="22"/>
                <w:szCs w:val="22"/>
                <w:lang w:val="fr-BE"/>
              </w:rPr>
              <w:t xml:space="preserve">, ont presté au </w:t>
            </w:r>
            <w:r w:rsidR="003C2C51">
              <w:rPr>
                <w:rFonts w:cs="Arial"/>
                <w:bCs/>
                <w:sz w:val="22"/>
                <w:szCs w:val="22"/>
                <w:lang w:val="fr-BE"/>
              </w:rPr>
              <w:t xml:space="preserve">moins 175 jours de travail effectif au cours de cette période de référence. </w:t>
            </w:r>
            <w:r w:rsidRPr="00C41A68">
              <w:rPr>
                <w:rFonts w:cs="Arial"/>
                <w:bCs/>
                <w:sz w:val="22"/>
                <w:szCs w:val="22"/>
                <w:lang w:val="fr-BE"/>
              </w:rPr>
              <w:t xml:space="preserve">  </w:t>
            </w:r>
          </w:p>
        </w:tc>
        <w:tc>
          <w:tcPr>
            <w:tcW w:w="285" w:type="dxa"/>
          </w:tcPr>
          <w:p w14:paraId="0D840A8A" w14:textId="77777777" w:rsidR="00C4070C" w:rsidRPr="00C41A68" w:rsidRDefault="00C4070C" w:rsidP="00C4070C">
            <w:pPr>
              <w:jc w:val="both"/>
              <w:rPr>
                <w:rFonts w:cs="Arial"/>
                <w:sz w:val="22"/>
                <w:szCs w:val="22"/>
                <w:lang w:val="fr-BE"/>
              </w:rPr>
            </w:pPr>
          </w:p>
        </w:tc>
        <w:tc>
          <w:tcPr>
            <w:tcW w:w="5353" w:type="dxa"/>
          </w:tcPr>
          <w:p w14:paraId="1D94F6F3" w14:textId="2068F4B2" w:rsidR="008A5AE8" w:rsidRPr="00EB29E7" w:rsidRDefault="00C4070C" w:rsidP="00A90B22">
            <w:pPr>
              <w:jc w:val="both"/>
              <w:rPr>
                <w:rFonts w:cs="Arial"/>
                <w:bCs/>
                <w:sz w:val="22"/>
                <w:szCs w:val="22"/>
                <w:lang w:val="nl-BE"/>
              </w:rPr>
            </w:pPr>
            <w:r w:rsidRPr="00EB29E7">
              <w:rPr>
                <w:rFonts w:cs="Arial"/>
                <w:b/>
                <w:sz w:val="22"/>
                <w:szCs w:val="22"/>
                <w:lang w:val="nl-BE"/>
              </w:rPr>
              <w:t xml:space="preserve">Art.3. § 1 </w:t>
            </w:r>
            <w:r w:rsidR="008A22CF" w:rsidRPr="00EB29E7">
              <w:rPr>
                <w:rFonts w:cs="Arial"/>
                <w:bCs/>
                <w:sz w:val="22"/>
                <w:szCs w:val="22"/>
                <w:lang w:val="nl-BE"/>
              </w:rPr>
              <w:t xml:space="preserve">Er wordt een eenmalige coronapremie onder de vorm van papieren of elektronische consumptiecheques ten belope van </w:t>
            </w:r>
            <w:r w:rsidR="008A22CF" w:rsidRPr="00EB29E7">
              <w:rPr>
                <w:rFonts w:cs="Arial"/>
                <w:b/>
                <w:sz w:val="22"/>
                <w:szCs w:val="22"/>
                <w:lang w:val="nl-BE"/>
              </w:rPr>
              <w:t>250 euro</w:t>
            </w:r>
            <w:r w:rsidR="008A22CF" w:rsidRPr="00EB29E7">
              <w:rPr>
                <w:rFonts w:cs="Arial"/>
                <w:bCs/>
                <w:sz w:val="22"/>
                <w:szCs w:val="22"/>
                <w:lang w:val="nl-BE"/>
              </w:rPr>
              <w:t xml:space="preserve"> toegekend aan werknemers </w:t>
            </w:r>
            <w:r w:rsidRPr="00EB29E7">
              <w:rPr>
                <w:rFonts w:cs="Arial"/>
                <w:bCs/>
                <w:sz w:val="22"/>
                <w:szCs w:val="22"/>
                <w:lang w:val="nl-BE"/>
              </w:rPr>
              <w:t xml:space="preserve">die op </w:t>
            </w:r>
            <w:r w:rsidR="000A20DE" w:rsidRPr="00EB29E7">
              <w:rPr>
                <w:rFonts w:cs="Arial"/>
                <w:bCs/>
                <w:sz w:val="22"/>
                <w:szCs w:val="22"/>
                <w:lang w:val="nl-BE"/>
              </w:rPr>
              <w:t xml:space="preserve">30 november 2021 </w:t>
            </w:r>
            <w:r w:rsidRPr="00EB29E7">
              <w:rPr>
                <w:rFonts w:cs="Arial"/>
                <w:bCs/>
                <w:sz w:val="22"/>
                <w:szCs w:val="22"/>
                <w:lang w:val="nl-BE"/>
              </w:rPr>
              <w:t xml:space="preserve">in de onderneming </w:t>
            </w:r>
            <w:r w:rsidR="008A22CF" w:rsidRPr="00EB29E7">
              <w:rPr>
                <w:rFonts w:cs="Arial"/>
                <w:bCs/>
                <w:sz w:val="22"/>
                <w:szCs w:val="22"/>
                <w:lang w:val="nl-BE"/>
              </w:rPr>
              <w:t>in dienst zijn en die in de periode van 1 maart 2020 tot en met 31 mei 2021  minimaal 175 effectief gewerkte dagen tijdens deze referteperiode hebben gepresteerd.</w:t>
            </w:r>
          </w:p>
        </w:tc>
      </w:tr>
      <w:tr w:rsidR="00C4070C" w:rsidRPr="00F558F4" w14:paraId="737CB163" w14:textId="77777777" w:rsidTr="00933DD7">
        <w:trPr>
          <w:trHeight w:val="20"/>
        </w:trPr>
        <w:tc>
          <w:tcPr>
            <w:tcW w:w="5351" w:type="dxa"/>
          </w:tcPr>
          <w:p w14:paraId="0466A6D7" w14:textId="77777777" w:rsidR="00C4070C" w:rsidRPr="00BB3269" w:rsidRDefault="00C4070C" w:rsidP="00C4070C">
            <w:pPr>
              <w:jc w:val="both"/>
              <w:rPr>
                <w:rFonts w:cs="Arial"/>
                <w:b/>
                <w:sz w:val="22"/>
                <w:szCs w:val="22"/>
                <w:lang w:val="nl-BE"/>
              </w:rPr>
            </w:pPr>
          </w:p>
        </w:tc>
        <w:tc>
          <w:tcPr>
            <w:tcW w:w="285" w:type="dxa"/>
          </w:tcPr>
          <w:p w14:paraId="711B3B60" w14:textId="77777777" w:rsidR="00C4070C" w:rsidRPr="00EB29E7" w:rsidRDefault="00C4070C" w:rsidP="00C4070C">
            <w:pPr>
              <w:jc w:val="both"/>
              <w:rPr>
                <w:rFonts w:cs="Arial"/>
                <w:sz w:val="22"/>
                <w:szCs w:val="22"/>
                <w:lang w:val="nl-BE"/>
              </w:rPr>
            </w:pPr>
          </w:p>
        </w:tc>
        <w:tc>
          <w:tcPr>
            <w:tcW w:w="5353" w:type="dxa"/>
          </w:tcPr>
          <w:p w14:paraId="3CC1D7B3" w14:textId="77777777" w:rsidR="00C4070C" w:rsidRPr="00EB29E7" w:rsidRDefault="00C4070C" w:rsidP="00C4070C">
            <w:pPr>
              <w:jc w:val="both"/>
              <w:rPr>
                <w:rFonts w:cs="Arial"/>
                <w:b/>
                <w:sz w:val="22"/>
                <w:szCs w:val="22"/>
                <w:lang w:val="nl-BE"/>
              </w:rPr>
            </w:pPr>
          </w:p>
        </w:tc>
      </w:tr>
      <w:tr w:rsidR="00C4070C" w:rsidRPr="00F558F4" w14:paraId="44E2D0B8" w14:textId="77777777" w:rsidTr="00933DD7">
        <w:trPr>
          <w:trHeight w:val="20"/>
        </w:trPr>
        <w:tc>
          <w:tcPr>
            <w:tcW w:w="5351" w:type="dxa"/>
          </w:tcPr>
          <w:p w14:paraId="6C47F57F" w14:textId="3AEE6FED" w:rsidR="009B4399" w:rsidRPr="009B4399" w:rsidRDefault="003C2C51" w:rsidP="00A90B22">
            <w:pPr>
              <w:jc w:val="both"/>
              <w:rPr>
                <w:rFonts w:cs="Arial"/>
                <w:bCs/>
                <w:sz w:val="22"/>
                <w:szCs w:val="22"/>
                <w:lang w:val="fr-BE"/>
              </w:rPr>
            </w:pPr>
            <w:r w:rsidRPr="003C2C51">
              <w:rPr>
                <w:rFonts w:cs="Arial"/>
                <w:b/>
                <w:sz w:val="22"/>
                <w:szCs w:val="22"/>
                <w:lang w:val="fr-BE"/>
              </w:rPr>
              <w:t xml:space="preserve">§2. </w:t>
            </w:r>
            <w:r w:rsidRPr="003C2C51">
              <w:rPr>
                <w:rFonts w:cs="Arial"/>
                <w:bCs/>
                <w:sz w:val="22"/>
                <w:szCs w:val="22"/>
                <w:lang w:val="fr-BE"/>
              </w:rPr>
              <w:t xml:space="preserve">Pour  les travailleurs à temps partiel, la prime corona est octroyée au pro rata, le nombre de jours effectivement prestés </w:t>
            </w:r>
            <w:r w:rsidR="00264F85">
              <w:rPr>
                <w:rFonts w:cs="Arial"/>
                <w:bCs/>
                <w:sz w:val="22"/>
                <w:szCs w:val="22"/>
                <w:lang w:val="fr-BE"/>
              </w:rPr>
              <w:t xml:space="preserve">à atteindre </w:t>
            </w:r>
            <w:r w:rsidRPr="003C2C51">
              <w:rPr>
                <w:rFonts w:cs="Arial"/>
                <w:bCs/>
                <w:sz w:val="22"/>
                <w:szCs w:val="22"/>
                <w:lang w:val="fr-BE"/>
              </w:rPr>
              <w:t>étant également c</w:t>
            </w:r>
            <w:r>
              <w:rPr>
                <w:rFonts w:cs="Arial"/>
                <w:bCs/>
                <w:sz w:val="22"/>
                <w:szCs w:val="22"/>
                <w:lang w:val="fr-BE"/>
              </w:rPr>
              <w:t>al</w:t>
            </w:r>
            <w:r w:rsidRPr="003C2C51">
              <w:rPr>
                <w:rFonts w:cs="Arial"/>
                <w:bCs/>
                <w:sz w:val="22"/>
                <w:szCs w:val="22"/>
                <w:lang w:val="fr-BE"/>
              </w:rPr>
              <w:t>culé au pro rata.</w:t>
            </w:r>
            <w:r w:rsidR="009B4399">
              <w:rPr>
                <w:rFonts w:cs="Arial"/>
                <w:bCs/>
                <w:sz w:val="22"/>
                <w:szCs w:val="22"/>
                <w:lang w:val="fr-BE"/>
              </w:rPr>
              <w:t xml:space="preserve"> </w:t>
            </w:r>
            <w:r w:rsidR="009B4399" w:rsidRPr="009B4399">
              <w:rPr>
                <w:rFonts w:cs="Arial"/>
                <w:sz w:val="22"/>
                <w:szCs w:val="22"/>
                <w:lang w:val="fr-BE"/>
              </w:rPr>
              <w:t>Ces calculs au pro</w:t>
            </w:r>
            <w:r w:rsidR="009B4399">
              <w:rPr>
                <w:rFonts w:cs="Arial"/>
                <w:sz w:val="22"/>
                <w:szCs w:val="22"/>
                <w:lang w:val="fr-BE"/>
              </w:rPr>
              <w:t xml:space="preserve"> </w:t>
            </w:r>
            <w:r w:rsidR="009B4399" w:rsidRPr="009B4399">
              <w:rPr>
                <w:rFonts w:cs="Arial"/>
                <w:sz w:val="22"/>
                <w:szCs w:val="22"/>
                <w:lang w:val="fr-BE"/>
              </w:rPr>
              <w:t xml:space="preserve">rata sont effectués </w:t>
            </w:r>
            <w:r w:rsidR="009B4399">
              <w:rPr>
                <w:rFonts w:cs="Arial"/>
                <w:sz w:val="22"/>
                <w:szCs w:val="22"/>
                <w:lang w:val="fr-BE"/>
              </w:rPr>
              <w:t>conformément</w:t>
            </w:r>
            <w:r w:rsidR="009B4399" w:rsidRPr="009B4399">
              <w:rPr>
                <w:rFonts w:cs="Arial"/>
                <w:sz w:val="22"/>
                <w:szCs w:val="22"/>
                <w:lang w:val="fr-BE"/>
              </w:rPr>
              <w:t xml:space="preserve"> </w:t>
            </w:r>
            <w:r w:rsidR="009B4399">
              <w:rPr>
                <w:rFonts w:cs="Arial"/>
                <w:sz w:val="22"/>
                <w:szCs w:val="22"/>
                <w:lang w:val="fr-BE"/>
              </w:rPr>
              <w:t xml:space="preserve">les prestations dans </w:t>
            </w:r>
            <w:r w:rsidR="009B4399" w:rsidRPr="009B4399">
              <w:rPr>
                <w:rFonts w:cs="Arial"/>
                <w:sz w:val="22"/>
                <w:szCs w:val="22"/>
                <w:lang w:val="fr-BE"/>
              </w:rPr>
              <w:t>la période de référence allant du 1er mars 2020 au 31 mai 2021.</w:t>
            </w:r>
          </w:p>
        </w:tc>
        <w:tc>
          <w:tcPr>
            <w:tcW w:w="285" w:type="dxa"/>
          </w:tcPr>
          <w:p w14:paraId="1FA1FC01" w14:textId="77777777" w:rsidR="00C4070C" w:rsidRPr="003C2C51" w:rsidRDefault="00C4070C" w:rsidP="00C4070C">
            <w:pPr>
              <w:jc w:val="both"/>
              <w:rPr>
                <w:rFonts w:cs="Arial"/>
                <w:sz w:val="22"/>
                <w:szCs w:val="22"/>
                <w:lang w:val="fr-BE"/>
              </w:rPr>
            </w:pPr>
          </w:p>
        </w:tc>
        <w:tc>
          <w:tcPr>
            <w:tcW w:w="5353" w:type="dxa"/>
          </w:tcPr>
          <w:p w14:paraId="0B368040" w14:textId="18DCECA1" w:rsidR="00C4070C" w:rsidRPr="00F70E26" w:rsidRDefault="00A90B22" w:rsidP="00F70E26">
            <w:pPr>
              <w:jc w:val="both"/>
              <w:rPr>
                <w:rFonts w:cs="Arial"/>
                <w:bCs/>
                <w:color w:val="FF0000"/>
                <w:sz w:val="22"/>
                <w:szCs w:val="22"/>
                <w:lang w:val="nl-BE"/>
              </w:rPr>
            </w:pPr>
            <w:r w:rsidRPr="00EB29E7">
              <w:rPr>
                <w:rFonts w:cs="Arial"/>
                <w:b/>
                <w:sz w:val="22"/>
                <w:szCs w:val="22"/>
                <w:lang w:val="nl-BE"/>
              </w:rPr>
              <w:t>§2</w:t>
            </w:r>
            <w:r w:rsidRPr="00EB29E7">
              <w:rPr>
                <w:rFonts w:cs="Arial"/>
                <w:bCs/>
                <w:sz w:val="22"/>
                <w:szCs w:val="22"/>
                <w:lang w:val="nl-BE"/>
              </w:rPr>
              <w:t xml:space="preserve"> Voor deeltijdse werknemers wordt de coronapremie prorata toegekend</w:t>
            </w:r>
            <w:r w:rsidR="00991DC4" w:rsidRPr="00EB29E7">
              <w:rPr>
                <w:rFonts w:cs="Arial"/>
                <w:bCs/>
                <w:sz w:val="22"/>
                <w:szCs w:val="22"/>
                <w:lang w:val="nl-BE"/>
              </w:rPr>
              <w:t xml:space="preserve">, </w:t>
            </w:r>
            <w:r w:rsidR="00991DC4" w:rsidRPr="00EB29E7">
              <w:rPr>
                <w:rFonts w:cs="Arial"/>
                <w:sz w:val="22"/>
                <w:szCs w:val="22"/>
                <w:lang w:val="nl-BE"/>
              </w:rPr>
              <w:t xml:space="preserve">het </w:t>
            </w:r>
            <w:r w:rsidR="00A3146B">
              <w:rPr>
                <w:rFonts w:cs="Arial"/>
                <w:sz w:val="22"/>
                <w:szCs w:val="22"/>
                <w:lang w:val="nl-BE"/>
              </w:rPr>
              <w:t xml:space="preserve">te behalen </w:t>
            </w:r>
            <w:r w:rsidR="00991DC4" w:rsidRPr="00EB29E7">
              <w:rPr>
                <w:rFonts w:cs="Arial"/>
                <w:sz w:val="22"/>
                <w:szCs w:val="22"/>
                <w:lang w:val="nl-BE"/>
              </w:rPr>
              <w:t>aantal effectief gewerkte dagen wordt eveneens prorata berekend</w:t>
            </w:r>
            <w:r w:rsidRPr="009B4399">
              <w:rPr>
                <w:rFonts w:cs="Arial"/>
                <w:bCs/>
                <w:color w:val="000000" w:themeColor="text1"/>
                <w:sz w:val="22"/>
                <w:szCs w:val="22"/>
                <w:lang w:val="nl-BE"/>
              </w:rPr>
              <w:t>.</w:t>
            </w:r>
            <w:r w:rsidR="00F70E26" w:rsidRPr="009B4399">
              <w:rPr>
                <w:rFonts w:cs="Arial"/>
                <w:bCs/>
                <w:color w:val="000000" w:themeColor="text1"/>
                <w:sz w:val="22"/>
                <w:szCs w:val="22"/>
                <w:lang w:val="nl-BE"/>
              </w:rPr>
              <w:t xml:space="preserve">  Deze prorata berekeningen gebeuren c</w:t>
            </w:r>
            <w:r w:rsidR="009B4399">
              <w:rPr>
                <w:rFonts w:cs="Arial"/>
                <w:bCs/>
                <w:color w:val="000000" w:themeColor="text1"/>
                <w:sz w:val="22"/>
                <w:szCs w:val="22"/>
                <w:lang w:val="nl-BE"/>
              </w:rPr>
              <w:t>onform</w:t>
            </w:r>
            <w:r w:rsidR="00F70E26" w:rsidRPr="009B4399">
              <w:rPr>
                <w:rFonts w:cs="Arial"/>
                <w:bCs/>
                <w:color w:val="000000" w:themeColor="text1"/>
                <w:sz w:val="22"/>
                <w:szCs w:val="22"/>
                <w:lang w:val="nl-BE"/>
              </w:rPr>
              <w:t xml:space="preserve"> de prestaties in de referteperiode van 1 maart 2020 tot en met 31 mei 2021.</w:t>
            </w:r>
          </w:p>
        </w:tc>
      </w:tr>
      <w:tr w:rsidR="00A90B22" w:rsidRPr="00F558F4" w14:paraId="0662C700" w14:textId="77777777" w:rsidTr="00933DD7">
        <w:trPr>
          <w:trHeight w:val="20"/>
        </w:trPr>
        <w:tc>
          <w:tcPr>
            <w:tcW w:w="5351" w:type="dxa"/>
          </w:tcPr>
          <w:p w14:paraId="63F60276" w14:textId="77777777" w:rsidR="00A90B22" w:rsidRPr="00BB3269" w:rsidRDefault="00A90B22" w:rsidP="00C4070C">
            <w:pPr>
              <w:jc w:val="both"/>
              <w:rPr>
                <w:rFonts w:cs="Arial"/>
                <w:sz w:val="22"/>
                <w:szCs w:val="22"/>
                <w:lang w:val="nl-BE"/>
              </w:rPr>
            </w:pPr>
          </w:p>
        </w:tc>
        <w:tc>
          <w:tcPr>
            <w:tcW w:w="285" w:type="dxa"/>
          </w:tcPr>
          <w:p w14:paraId="6FC95C1B" w14:textId="77777777" w:rsidR="00A90B22" w:rsidRPr="00EB29E7" w:rsidRDefault="00A90B22" w:rsidP="00C4070C">
            <w:pPr>
              <w:jc w:val="both"/>
              <w:rPr>
                <w:rFonts w:cs="Arial"/>
                <w:sz w:val="22"/>
                <w:szCs w:val="22"/>
                <w:lang w:val="nl-BE"/>
              </w:rPr>
            </w:pPr>
          </w:p>
        </w:tc>
        <w:tc>
          <w:tcPr>
            <w:tcW w:w="5353" w:type="dxa"/>
          </w:tcPr>
          <w:p w14:paraId="1ADF5F96" w14:textId="77777777" w:rsidR="00A90B22" w:rsidRPr="00EB29E7" w:rsidRDefault="00A90B22" w:rsidP="00C4070C">
            <w:pPr>
              <w:jc w:val="both"/>
              <w:rPr>
                <w:rFonts w:cs="Arial"/>
                <w:b/>
                <w:sz w:val="22"/>
                <w:szCs w:val="22"/>
                <w:lang w:val="nl-BE"/>
              </w:rPr>
            </w:pPr>
          </w:p>
        </w:tc>
      </w:tr>
      <w:tr w:rsidR="00A90B22" w:rsidRPr="00F558F4" w14:paraId="13385F89" w14:textId="77777777" w:rsidTr="00933DD7">
        <w:trPr>
          <w:trHeight w:val="20"/>
        </w:trPr>
        <w:tc>
          <w:tcPr>
            <w:tcW w:w="5351" w:type="dxa"/>
          </w:tcPr>
          <w:p w14:paraId="56AD3548" w14:textId="2FF303B1" w:rsidR="00A90B22" w:rsidRPr="001257BE" w:rsidRDefault="003C2C51" w:rsidP="003C2C51">
            <w:pPr>
              <w:jc w:val="both"/>
              <w:rPr>
                <w:rFonts w:cs="Arial"/>
                <w:sz w:val="22"/>
                <w:szCs w:val="22"/>
                <w:lang w:val="fr-BE"/>
              </w:rPr>
            </w:pPr>
            <w:r w:rsidRPr="008F1813">
              <w:rPr>
                <w:rFonts w:cs="Arial"/>
                <w:b/>
                <w:bCs/>
                <w:sz w:val="22"/>
                <w:szCs w:val="22"/>
                <w:lang w:val="fr-BE"/>
              </w:rPr>
              <w:lastRenderedPageBreak/>
              <w:t>§3.</w:t>
            </w:r>
            <w:r w:rsidRPr="008F1813">
              <w:rPr>
                <w:rFonts w:cs="Arial"/>
                <w:sz w:val="22"/>
                <w:szCs w:val="22"/>
                <w:lang w:val="fr-BE"/>
              </w:rPr>
              <w:t xml:space="preserve">  </w:t>
            </w:r>
            <w:r w:rsidRPr="003C2C51">
              <w:rPr>
                <w:rFonts w:cs="Arial"/>
                <w:sz w:val="22"/>
                <w:szCs w:val="22"/>
                <w:lang w:val="fr-BE"/>
              </w:rPr>
              <w:t xml:space="preserve">Les employeurs ayant déjà octroyé une prime corona ou une prime similaire </w:t>
            </w:r>
            <w:r w:rsidR="001257BE">
              <w:rPr>
                <w:rFonts w:cs="Arial"/>
                <w:sz w:val="22"/>
                <w:szCs w:val="22"/>
                <w:lang w:val="fr-BE"/>
              </w:rPr>
              <w:t>dans le cadre</w:t>
            </w:r>
            <w:r w:rsidRPr="003C2C51">
              <w:rPr>
                <w:rFonts w:cs="Arial"/>
                <w:sz w:val="22"/>
                <w:szCs w:val="22"/>
                <w:lang w:val="fr-BE"/>
              </w:rPr>
              <w:t xml:space="preserve"> du corona en 2021 peuvent imputer celle-ci pour ce qui concerne la valeur nette si une prime corona équivalente ou supérieure </w:t>
            </w:r>
            <w:r>
              <w:rPr>
                <w:rFonts w:cs="Arial"/>
                <w:sz w:val="22"/>
                <w:szCs w:val="22"/>
                <w:lang w:val="fr-BE"/>
              </w:rPr>
              <w:t xml:space="preserve">ou </w:t>
            </w:r>
            <w:r w:rsidR="00AE52A3">
              <w:rPr>
                <w:rFonts w:cs="Arial"/>
                <w:sz w:val="22"/>
                <w:szCs w:val="22"/>
                <w:lang w:val="fr-BE"/>
              </w:rPr>
              <w:t xml:space="preserve">une prime équivalente ou supérieure dans le cadre du corona </w:t>
            </w:r>
            <w:r w:rsidRPr="003C2C51">
              <w:rPr>
                <w:rFonts w:cs="Arial"/>
                <w:sz w:val="22"/>
                <w:szCs w:val="22"/>
                <w:lang w:val="fr-BE"/>
              </w:rPr>
              <w:t xml:space="preserve">a déjà été </w:t>
            </w:r>
            <w:r>
              <w:rPr>
                <w:rFonts w:cs="Arial"/>
                <w:sz w:val="22"/>
                <w:szCs w:val="22"/>
                <w:lang w:val="fr-BE"/>
              </w:rPr>
              <w:t>accordé</w:t>
            </w:r>
            <w:r w:rsidR="0027667E">
              <w:rPr>
                <w:rFonts w:cs="Arial"/>
                <w:sz w:val="22"/>
                <w:szCs w:val="22"/>
                <w:lang w:val="fr-BE"/>
              </w:rPr>
              <w:t>e</w:t>
            </w:r>
            <w:r w:rsidRPr="003C2C51">
              <w:rPr>
                <w:rFonts w:cs="Arial"/>
                <w:sz w:val="22"/>
                <w:szCs w:val="22"/>
                <w:lang w:val="fr-BE"/>
              </w:rPr>
              <w:t xml:space="preserve">. Les employeurs ayant octroyé moins de 250 euros </w:t>
            </w:r>
            <w:r>
              <w:rPr>
                <w:rFonts w:cs="Arial"/>
                <w:sz w:val="22"/>
                <w:szCs w:val="22"/>
                <w:lang w:val="fr-BE"/>
              </w:rPr>
              <w:t xml:space="preserve">effectuent l’appoint </w:t>
            </w:r>
            <w:r w:rsidRPr="003C2C51">
              <w:rPr>
                <w:rFonts w:cs="Arial"/>
                <w:sz w:val="22"/>
                <w:szCs w:val="22"/>
                <w:lang w:val="fr-BE"/>
              </w:rPr>
              <w:t xml:space="preserve">jusqu’à 250 euros, </w:t>
            </w:r>
            <w:r w:rsidR="001257BE">
              <w:rPr>
                <w:rFonts w:cs="Arial"/>
                <w:sz w:val="22"/>
                <w:szCs w:val="22"/>
                <w:lang w:val="fr-BE"/>
              </w:rPr>
              <w:t>en tenant compte</w:t>
            </w:r>
            <w:r w:rsidRPr="003C2C51">
              <w:rPr>
                <w:rFonts w:cs="Arial"/>
                <w:sz w:val="22"/>
                <w:szCs w:val="22"/>
                <w:lang w:val="fr-BE"/>
              </w:rPr>
              <w:t xml:space="preserve"> des conditions énoncées ci-dessus. </w:t>
            </w:r>
            <w:r w:rsidR="009B4399">
              <w:rPr>
                <w:rFonts w:cs="Arial"/>
                <w:sz w:val="22"/>
                <w:szCs w:val="22"/>
                <w:lang w:val="fr-BE"/>
              </w:rPr>
              <w:br/>
            </w:r>
            <w:r w:rsidR="009B4399" w:rsidRPr="009B4399">
              <w:rPr>
                <w:rFonts w:cs="Arial"/>
                <w:sz w:val="22"/>
                <w:szCs w:val="22"/>
                <w:lang w:val="fr-BE"/>
              </w:rPr>
              <w:t>Les employeurs qui souhaitent accorder un montant supérieur à 250 euros (max. 500 euros), peuvent le faire par le biais d'un</w:t>
            </w:r>
            <w:r w:rsidR="009B4399">
              <w:rPr>
                <w:rFonts w:cs="Arial"/>
                <w:sz w:val="22"/>
                <w:szCs w:val="22"/>
                <w:lang w:val="fr-BE"/>
              </w:rPr>
              <w:t xml:space="preserve">e CCT </w:t>
            </w:r>
            <w:r w:rsidR="009B4399" w:rsidRPr="009B4399">
              <w:rPr>
                <w:rFonts w:cs="Arial"/>
                <w:sz w:val="22"/>
                <w:szCs w:val="22"/>
                <w:lang w:val="fr-BE"/>
              </w:rPr>
              <w:t>au niveau de l'entreprise ou par le biais d'un</w:t>
            </w:r>
            <w:r w:rsidR="009B4399">
              <w:rPr>
                <w:rFonts w:cs="Arial"/>
                <w:sz w:val="22"/>
                <w:szCs w:val="22"/>
                <w:lang w:val="fr-BE"/>
              </w:rPr>
              <w:t>e convention</w:t>
            </w:r>
            <w:r w:rsidR="009B4399" w:rsidRPr="009B4399">
              <w:rPr>
                <w:rFonts w:cs="Arial"/>
                <w:sz w:val="22"/>
                <w:szCs w:val="22"/>
                <w:lang w:val="fr-BE"/>
              </w:rPr>
              <w:t xml:space="preserve"> individuel</w:t>
            </w:r>
            <w:r w:rsidR="009B4399">
              <w:rPr>
                <w:rFonts w:cs="Arial"/>
                <w:sz w:val="22"/>
                <w:szCs w:val="22"/>
                <w:lang w:val="fr-BE"/>
              </w:rPr>
              <w:t>le</w:t>
            </w:r>
            <w:r w:rsidR="009B4399" w:rsidRPr="009B4399">
              <w:rPr>
                <w:rFonts w:cs="Arial"/>
                <w:sz w:val="22"/>
                <w:szCs w:val="22"/>
                <w:lang w:val="fr-BE"/>
              </w:rPr>
              <w:t xml:space="preserve"> en l'absence de délégation syndicale.</w:t>
            </w:r>
          </w:p>
        </w:tc>
        <w:tc>
          <w:tcPr>
            <w:tcW w:w="285" w:type="dxa"/>
          </w:tcPr>
          <w:p w14:paraId="4DE1F315" w14:textId="77777777" w:rsidR="00A90B22" w:rsidRPr="001257BE" w:rsidRDefault="00A90B22" w:rsidP="00C4070C">
            <w:pPr>
              <w:jc w:val="both"/>
              <w:rPr>
                <w:rFonts w:cs="Arial"/>
                <w:sz w:val="22"/>
                <w:szCs w:val="22"/>
                <w:lang w:val="fr-BE"/>
              </w:rPr>
            </w:pPr>
          </w:p>
        </w:tc>
        <w:tc>
          <w:tcPr>
            <w:tcW w:w="5353" w:type="dxa"/>
          </w:tcPr>
          <w:p w14:paraId="5FB95B28" w14:textId="69B79681" w:rsidR="00A90B22" w:rsidRDefault="00A90B22" w:rsidP="00A90B22">
            <w:pPr>
              <w:jc w:val="both"/>
              <w:rPr>
                <w:rFonts w:cs="Arial"/>
                <w:sz w:val="22"/>
                <w:szCs w:val="22"/>
                <w:lang w:val="nl-BE"/>
              </w:rPr>
            </w:pPr>
            <w:r w:rsidRPr="00EB29E7">
              <w:rPr>
                <w:rFonts w:cs="Arial"/>
                <w:b/>
                <w:bCs/>
                <w:sz w:val="22"/>
                <w:szCs w:val="22"/>
                <w:lang w:val="nl-BE"/>
              </w:rPr>
              <w:t>§3</w:t>
            </w:r>
            <w:r w:rsidRPr="00EB29E7">
              <w:rPr>
                <w:rFonts w:cs="Arial"/>
                <w:sz w:val="22"/>
                <w:szCs w:val="22"/>
                <w:lang w:val="nl-BE"/>
              </w:rPr>
              <w:t xml:space="preserve">  Werkgevers die reeds een coronapremie</w:t>
            </w:r>
            <w:r w:rsidR="00944593" w:rsidRPr="00EB29E7">
              <w:rPr>
                <w:rFonts w:cs="Arial"/>
                <w:sz w:val="22"/>
                <w:szCs w:val="22"/>
                <w:lang w:val="nl-BE"/>
              </w:rPr>
              <w:t xml:space="preserve"> of </w:t>
            </w:r>
            <w:r w:rsidR="00991DC4" w:rsidRPr="00EB29E7">
              <w:rPr>
                <w:rFonts w:cs="Arial"/>
                <w:sz w:val="22"/>
                <w:szCs w:val="22"/>
                <w:lang w:val="nl-BE"/>
              </w:rPr>
              <w:t>een gelijkwaardige premie i</w:t>
            </w:r>
            <w:r w:rsidR="00AE52A3">
              <w:rPr>
                <w:rFonts w:cs="Arial"/>
                <w:sz w:val="22"/>
                <w:szCs w:val="22"/>
                <w:lang w:val="nl-BE"/>
              </w:rPr>
              <w:t>n het kader van</w:t>
            </w:r>
            <w:r w:rsidR="00991DC4" w:rsidRPr="00EB29E7">
              <w:rPr>
                <w:rFonts w:cs="Arial"/>
                <w:sz w:val="22"/>
                <w:szCs w:val="22"/>
                <w:lang w:val="nl-BE"/>
              </w:rPr>
              <w:t xml:space="preserve"> corona toekenden </w:t>
            </w:r>
            <w:r w:rsidRPr="00EB29E7">
              <w:rPr>
                <w:rFonts w:cs="Arial"/>
                <w:sz w:val="22"/>
                <w:szCs w:val="22"/>
                <w:lang w:val="nl-BE"/>
              </w:rPr>
              <w:t>in 2021 kunnen deze</w:t>
            </w:r>
            <w:r w:rsidR="00944593" w:rsidRPr="00EB29E7">
              <w:rPr>
                <w:rFonts w:cs="Arial"/>
                <w:sz w:val="22"/>
                <w:szCs w:val="22"/>
                <w:lang w:val="nl-BE"/>
              </w:rPr>
              <w:t xml:space="preserve"> voor wat betreft de netto waarde</w:t>
            </w:r>
            <w:r w:rsidRPr="00EB29E7">
              <w:rPr>
                <w:rFonts w:cs="Arial"/>
                <w:sz w:val="22"/>
                <w:szCs w:val="22"/>
                <w:lang w:val="nl-BE"/>
              </w:rPr>
              <w:t xml:space="preserve"> verrekenen indien reeds een hogere of gelijkwaardige coronapremie</w:t>
            </w:r>
            <w:r w:rsidR="0092198C" w:rsidRPr="00EB29E7">
              <w:rPr>
                <w:rFonts w:cs="Arial"/>
                <w:sz w:val="22"/>
                <w:szCs w:val="22"/>
                <w:lang w:val="nl-BE"/>
              </w:rPr>
              <w:t xml:space="preserve"> </w:t>
            </w:r>
            <w:r w:rsidR="00AE52A3">
              <w:rPr>
                <w:rFonts w:cs="Arial"/>
                <w:sz w:val="22"/>
                <w:szCs w:val="22"/>
                <w:lang w:val="nl-BE"/>
              </w:rPr>
              <w:t xml:space="preserve">of </w:t>
            </w:r>
            <w:r w:rsidR="00AE52A3" w:rsidRPr="00AE52A3">
              <w:rPr>
                <w:rFonts w:cs="Arial"/>
                <w:sz w:val="22"/>
                <w:szCs w:val="22"/>
                <w:lang w:val="nl-BE"/>
              </w:rPr>
              <w:t>een hogere of gelijkwaardige premie i</w:t>
            </w:r>
            <w:r w:rsidR="00AE52A3">
              <w:rPr>
                <w:rFonts w:cs="Arial"/>
                <w:sz w:val="22"/>
                <w:szCs w:val="22"/>
                <w:lang w:val="nl-BE"/>
              </w:rPr>
              <w:t>n het kader van</w:t>
            </w:r>
            <w:r w:rsidR="00AE52A3" w:rsidRPr="00AE52A3">
              <w:rPr>
                <w:rFonts w:cs="Arial"/>
                <w:sz w:val="22"/>
                <w:szCs w:val="22"/>
                <w:lang w:val="nl-BE"/>
              </w:rPr>
              <w:t xml:space="preserve"> corona </w:t>
            </w:r>
            <w:r w:rsidRPr="00EB29E7">
              <w:rPr>
                <w:rFonts w:cs="Arial"/>
                <w:sz w:val="22"/>
                <w:szCs w:val="22"/>
                <w:lang w:val="nl-BE"/>
              </w:rPr>
              <w:t>werd toegekend. Werkgevers die minder dan 250 euro</w:t>
            </w:r>
            <w:r w:rsidR="00944593" w:rsidRPr="00EB29E7">
              <w:rPr>
                <w:rFonts w:cs="Arial"/>
                <w:sz w:val="22"/>
                <w:szCs w:val="22"/>
                <w:lang w:val="nl-BE"/>
              </w:rPr>
              <w:t xml:space="preserve"> </w:t>
            </w:r>
            <w:r w:rsidRPr="00EB29E7">
              <w:rPr>
                <w:rFonts w:cs="Arial"/>
                <w:sz w:val="22"/>
                <w:szCs w:val="22"/>
                <w:lang w:val="nl-BE"/>
              </w:rPr>
              <w:t>toekenden, vullen aan tot 250 euro, rekening houdend met bovenstaande voorwaarden.</w:t>
            </w:r>
          </w:p>
          <w:p w14:paraId="570945D8" w14:textId="75AFE251" w:rsidR="00F70E26" w:rsidRPr="009B4399" w:rsidRDefault="00F70E26" w:rsidP="00A90B22">
            <w:pPr>
              <w:jc w:val="both"/>
              <w:rPr>
                <w:rFonts w:cs="Arial"/>
                <w:color w:val="000000" w:themeColor="text1"/>
                <w:sz w:val="22"/>
                <w:szCs w:val="22"/>
                <w:lang w:val="nl-BE"/>
              </w:rPr>
            </w:pPr>
            <w:r w:rsidRPr="009B4399">
              <w:rPr>
                <w:rFonts w:cs="Arial"/>
                <w:color w:val="000000" w:themeColor="text1"/>
                <w:sz w:val="22"/>
                <w:szCs w:val="22"/>
                <w:lang w:val="nl-BE"/>
              </w:rPr>
              <w:t>Werkgevers die</w:t>
            </w:r>
            <w:r w:rsidR="009B4399" w:rsidRPr="009B4399">
              <w:rPr>
                <w:rFonts w:cs="Arial"/>
                <w:color w:val="000000" w:themeColor="text1"/>
                <w:sz w:val="22"/>
                <w:szCs w:val="22"/>
                <w:lang w:val="nl-BE"/>
              </w:rPr>
              <w:t xml:space="preserve"> </w:t>
            </w:r>
            <w:r w:rsidRPr="009B4399">
              <w:rPr>
                <w:rFonts w:cs="Arial"/>
                <w:color w:val="000000" w:themeColor="text1"/>
                <w:sz w:val="22"/>
                <w:szCs w:val="22"/>
                <w:lang w:val="nl-BE"/>
              </w:rPr>
              <w:t xml:space="preserve">een hoger bedrag dan 250 euro </w:t>
            </w:r>
            <w:r w:rsidR="00433E7D" w:rsidRPr="009B4399">
              <w:rPr>
                <w:rFonts w:cs="Arial"/>
                <w:color w:val="000000" w:themeColor="text1"/>
                <w:sz w:val="22"/>
                <w:szCs w:val="22"/>
                <w:lang w:val="nl-BE"/>
              </w:rPr>
              <w:t xml:space="preserve">(max. 500 euro) </w:t>
            </w:r>
            <w:r w:rsidRPr="009B4399">
              <w:rPr>
                <w:rFonts w:cs="Arial"/>
                <w:color w:val="000000" w:themeColor="text1"/>
                <w:sz w:val="22"/>
                <w:szCs w:val="22"/>
                <w:lang w:val="nl-BE"/>
              </w:rPr>
              <w:t>wensen toe te kennen, kunnen dit middels C</w:t>
            </w:r>
            <w:r w:rsidR="009B4399">
              <w:rPr>
                <w:rFonts w:cs="Arial"/>
                <w:color w:val="000000" w:themeColor="text1"/>
                <w:sz w:val="22"/>
                <w:szCs w:val="22"/>
                <w:lang w:val="nl-BE"/>
              </w:rPr>
              <w:t>AO</w:t>
            </w:r>
            <w:r w:rsidRPr="009B4399">
              <w:rPr>
                <w:rFonts w:cs="Arial"/>
                <w:color w:val="000000" w:themeColor="text1"/>
                <w:sz w:val="22"/>
                <w:szCs w:val="22"/>
                <w:lang w:val="nl-BE"/>
              </w:rPr>
              <w:t xml:space="preserve"> op ondernemingsvlak of middels individuele overeenkomst bij ontstentenis van syndicale delegatie. </w:t>
            </w:r>
          </w:p>
          <w:p w14:paraId="703743FE" w14:textId="77777777" w:rsidR="00A90B22" w:rsidRPr="00EB29E7" w:rsidRDefault="00A90B22" w:rsidP="00AE52A3">
            <w:pPr>
              <w:jc w:val="both"/>
              <w:rPr>
                <w:rFonts w:cs="Arial"/>
                <w:b/>
                <w:sz w:val="22"/>
                <w:szCs w:val="22"/>
                <w:lang w:val="nl-BE"/>
              </w:rPr>
            </w:pPr>
          </w:p>
        </w:tc>
      </w:tr>
      <w:tr w:rsidR="00A90B22" w:rsidRPr="00F558F4" w14:paraId="67F5322A" w14:textId="77777777" w:rsidTr="00933DD7">
        <w:trPr>
          <w:trHeight w:val="20"/>
        </w:trPr>
        <w:tc>
          <w:tcPr>
            <w:tcW w:w="5351" w:type="dxa"/>
          </w:tcPr>
          <w:p w14:paraId="74FDA45D" w14:textId="77777777" w:rsidR="00A90B22" w:rsidRPr="00BB3269" w:rsidRDefault="00A90B22" w:rsidP="00C4070C">
            <w:pPr>
              <w:jc w:val="both"/>
              <w:rPr>
                <w:rFonts w:cs="Arial"/>
                <w:sz w:val="22"/>
                <w:szCs w:val="22"/>
                <w:lang w:val="nl-BE"/>
              </w:rPr>
            </w:pPr>
          </w:p>
        </w:tc>
        <w:tc>
          <w:tcPr>
            <w:tcW w:w="285" w:type="dxa"/>
          </w:tcPr>
          <w:p w14:paraId="41977F58" w14:textId="77777777" w:rsidR="00A90B22" w:rsidRPr="00EB29E7" w:rsidRDefault="00A90B22" w:rsidP="00C4070C">
            <w:pPr>
              <w:jc w:val="both"/>
              <w:rPr>
                <w:rFonts w:cs="Arial"/>
                <w:sz w:val="22"/>
                <w:szCs w:val="22"/>
                <w:lang w:val="nl-BE"/>
              </w:rPr>
            </w:pPr>
          </w:p>
        </w:tc>
        <w:tc>
          <w:tcPr>
            <w:tcW w:w="5353" w:type="dxa"/>
          </w:tcPr>
          <w:p w14:paraId="6BFD1AAC" w14:textId="77777777" w:rsidR="00A90B22" w:rsidRPr="00EB29E7" w:rsidRDefault="00A90B22" w:rsidP="00C4070C">
            <w:pPr>
              <w:jc w:val="both"/>
              <w:rPr>
                <w:rFonts w:cs="Arial"/>
                <w:b/>
                <w:sz w:val="22"/>
                <w:szCs w:val="22"/>
                <w:lang w:val="nl-BE"/>
              </w:rPr>
            </w:pPr>
          </w:p>
        </w:tc>
      </w:tr>
      <w:tr w:rsidR="002A0689" w:rsidRPr="00F558F4" w14:paraId="0B0F6425" w14:textId="77777777" w:rsidTr="00933DD7">
        <w:trPr>
          <w:trHeight w:val="20"/>
        </w:trPr>
        <w:tc>
          <w:tcPr>
            <w:tcW w:w="5351" w:type="dxa"/>
          </w:tcPr>
          <w:p w14:paraId="5FCC1AB7" w14:textId="75012827" w:rsidR="002A0689" w:rsidRPr="003C2C51" w:rsidRDefault="003C2C51" w:rsidP="00C4070C">
            <w:pPr>
              <w:jc w:val="both"/>
              <w:rPr>
                <w:rFonts w:cs="Arial"/>
                <w:sz w:val="22"/>
                <w:szCs w:val="22"/>
                <w:lang w:val="fr-BE"/>
              </w:rPr>
            </w:pPr>
            <w:r w:rsidRPr="003C2C51">
              <w:rPr>
                <w:rFonts w:cs="Arial"/>
                <w:b/>
                <w:sz w:val="22"/>
                <w:szCs w:val="22"/>
                <w:lang w:val="fr-BE"/>
              </w:rPr>
              <w:t xml:space="preserve">§4. </w:t>
            </w:r>
            <w:r w:rsidRPr="003C2C51">
              <w:rPr>
                <w:rFonts w:cs="Arial"/>
                <w:bCs/>
                <w:sz w:val="22"/>
                <w:szCs w:val="22"/>
                <w:lang w:val="fr-BE"/>
              </w:rPr>
              <w:t>La valeur nominale maximale du chèque</w:t>
            </w:r>
            <w:r>
              <w:rPr>
                <w:rFonts w:cs="Arial"/>
                <w:bCs/>
                <w:sz w:val="22"/>
                <w:szCs w:val="22"/>
                <w:lang w:val="fr-BE"/>
              </w:rPr>
              <w:t xml:space="preserve"> consommation est de </w:t>
            </w:r>
            <w:r w:rsidRPr="003C2C51">
              <w:rPr>
                <w:rFonts w:cs="Arial"/>
                <w:bCs/>
                <w:sz w:val="22"/>
                <w:szCs w:val="22"/>
                <w:lang w:val="fr-BE"/>
              </w:rPr>
              <w:t>10€ p</w:t>
            </w:r>
            <w:r>
              <w:rPr>
                <w:rFonts w:cs="Arial"/>
                <w:bCs/>
                <w:sz w:val="22"/>
                <w:szCs w:val="22"/>
                <w:lang w:val="fr-BE"/>
              </w:rPr>
              <w:t>a</w:t>
            </w:r>
            <w:r w:rsidRPr="003C2C51">
              <w:rPr>
                <w:rFonts w:cs="Arial"/>
                <w:bCs/>
                <w:sz w:val="22"/>
                <w:szCs w:val="22"/>
                <w:lang w:val="fr-BE"/>
              </w:rPr>
              <w:t>r ch</w:t>
            </w:r>
            <w:r>
              <w:rPr>
                <w:rFonts w:cs="Arial"/>
                <w:bCs/>
                <w:sz w:val="22"/>
                <w:szCs w:val="22"/>
                <w:lang w:val="fr-BE"/>
              </w:rPr>
              <w:t>è</w:t>
            </w:r>
            <w:r w:rsidRPr="003C2C51">
              <w:rPr>
                <w:rFonts w:cs="Arial"/>
                <w:bCs/>
                <w:sz w:val="22"/>
                <w:szCs w:val="22"/>
                <w:lang w:val="fr-BE"/>
              </w:rPr>
              <w:t>que</w:t>
            </w:r>
            <w:r>
              <w:rPr>
                <w:rFonts w:cs="Arial"/>
                <w:bCs/>
                <w:sz w:val="22"/>
                <w:szCs w:val="22"/>
                <w:lang w:val="fr-BE"/>
              </w:rPr>
              <w:t xml:space="preserve"> consommation.</w:t>
            </w:r>
          </w:p>
        </w:tc>
        <w:tc>
          <w:tcPr>
            <w:tcW w:w="285" w:type="dxa"/>
          </w:tcPr>
          <w:p w14:paraId="3429CAE7" w14:textId="77777777" w:rsidR="002A0689" w:rsidRPr="003C2C51" w:rsidRDefault="002A0689" w:rsidP="00C4070C">
            <w:pPr>
              <w:jc w:val="both"/>
              <w:rPr>
                <w:rFonts w:cs="Arial"/>
                <w:sz w:val="22"/>
                <w:szCs w:val="22"/>
                <w:lang w:val="fr-BE"/>
              </w:rPr>
            </w:pPr>
          </w:p>
        </w:tc>
        <w:tc>
          <w:tcPr>
            <w:tcW w:w="5353" w:type="dxa"/>
          </w:tcPr>
          <w:p w14:paraId="4259D363" w14:textId="0E1E773F" w:rsidR="002A0689" w:rsidRPr="00EB29E7" w:rsidRDefault="002A0689" w:rsidP="00C4070C">
            <w:pPr>
              <w:jc w:val="both"/>
              <w:rPr>
                <w:rFonts w:cs="Arial"/>
                <w:b/>
                <w:sz w:val="22"/>
                <w:szCs w:val="22"/>
                <w:lang w:val="nl-BE"/>
              </w:rPr>
            </w:pPr>
            <w:r>
              <w:rPr>
                <w:rFonts w:cs="Arial"/>
                <w:b/>
                <w:sz w:val="22"/>
                <w:szCs w:val="22"/>
                <w:lang w:val="nl-BE"/>
              </w:rPr>
              <w:t xml:space="preserve">§4. </w:t>
            </w:r>
            <w:r w:rsidRPr="0070637D">
              <w:rPr>
                <w:rFonts w:cs="Arial"/>
                <w:bCs/>
                <w:sz w:val="22"/>
                <w:szCs w:val="22"/>
                <w:lang w:val="nl-BE"/>
              </w:rPr>
              <w:t>De maximale nominale waarde van de consumptiecheque is 10€</w:t>
            </w:r>
            <w:r>
              <w:rPr>
                <w:rFonts w:cs="Arial"/>
                <w:bCs/>
                <w:sz w:val="22"/>
                <w:szCs w:val="22"/>
                <w:lang w:val="nl-BE"/>
              </w:rPr>
              <w:t xml:space="preserve"> per consumptiecheque</w:t>
            </w:r>
          </w:p>
        </w:tc>
      </w:tr>
      <w:tr w:rsidR="002A0689" w:rsidRPr="00F558F4" w14:paraId="0E621D46" w14:textId="77777777" w:rsidTr="00933DD7">
        <w:trPr>
          <w:trHeight w:val="20"/>
        </w:trPr>
        <w:tc>
          <w:tcPr>
            <w:tcW w:w="5351" w:type="dxa"/>
          </w:tcPr>
          <w:p w14:paraId="742FE50D" w14:textId="77777777" w:rsidR="002A0689" w:rsidRPr="00BB3269" w:rsidRDefault="002A0689" w:rsidP="00C4070C">
            <w:pPr>
              <w:jc w:val="both"/>
              <w:rPr>
                <w:rFonts w:cs="Arial"/>
                <w:sz w:val="22"/>
                <w:szCs w:val="22"/>
                <w:lang w:val="nl-BE"/>
              </w:rPr>
            </w:pPr>
          </w:p>
        </w:tc>
        <w:tc>
          <w:tcPr>
            <w:tcW w:w="285" w:type="dxa"/>
          </w:tcPr>
          <w:p w14:paraId="6C731756" w14:textId="77777777" w:rsidR="002A0689" w:rsidRPr="00EB29E7" w:rsidRDefault="002A0689" w:rsidP="00C4070C">
            <w:pPr>
              <w:jc w:val="both"/>
              <w:rPr>
                <w:rFonts w:cs="Arial"/>
                <w:sz w:val="22"/>
                <w:szCs w:val="22"/>
                <w:lang w:val="nl-BE"/>
              </w:rPr>
            </w:pPr>
          </w:p>
        </w:tc>
        <w:tc>
          <w:tcPr>
            <w:tcW w:w="5353" w:type="dxa"/>
          </w:tcPr>
          <w:p w14:paraId="16532293" w14:textId="77777777" w:rsidR="002A0689" w:rsidRPr="00EB29E7" w:rsidRDefault="002A0689" w:rsidP="00C4070C">
            <w:pPr>
              <w:jc w:val="both"/>
              <w:rPr>
                <w:rFonts w:cs="Arial"/>
                <w:b/>
                <w:sz w:val="22"/>
                <w:szCs w:val="22"/>
                <w:lang w:val="nl-BE"/>
              </w:rPr>
            </w:pPr>
          </w:p>
        </w:tc>
      </w:tr>
      <w:tr w:rsidR="003C2C51" w:rsidRPr="00F558F4" w14:paraId="657CB1CF" w14:textId="77777777" w:rsidTr="00933DD7">
        <w:trPr>
          <w:trHeight w:val="20"/>
        </w:trPr>
        <w:tc>
          <w:tcPr>
            <w:tcW w:w="5351" w:type="dxa"/>
          </w:tcPr>
          <w:p w14:paraId="1E967DF9" w14:textId="5C8B506D" w:rsidR="003C2C51" w:rsidRPr="003E52A6" w:rsidRDefault="003C2C51" w:rsidP="003C2C51">
            <w:pPr>
              <w:jc w:val="both"/>
              <w:rPr>
                <w:rFonts w:cs="Arial"/>
                <w:sz w:val="22"/>
                <w:szCs w:val="22"/>
                <w:lang w:val="fr-BE"/>
              </w:rPr>
            </w:pPr>
            <w:r w:rsidRPr="003E52A6">
              <w:rPr>
                <w:rFonts w:cs="Arial"/>
                <w:b/>
                <w:sz w:val="22"/>
                <w:szCs w:val="22"/>
                <w:lang w:val="fr-BE"/>
              </w:rPr>
              <w:t>§ 5.</w:t>
            </w:r>
            <w:r w:rsidRPr="003E52A6">
              <w:rPr>
                <w:rFonts w:cs="Arial"/>
                <w:sz w:val="22"/>
                <w:szCs w:val="22"/>
                <w:lang w:val="fr-BE"/>
              </w:rPr>
              <w:t xml:space="preserve"> </w:t>
            </w:r>
            <w:r w:rsidR="003E52A6" w:rsidRPr="003E52A6">
              <w:rPr>
                <w:rFonts w:cs="Arial"/>
                <w:sz w:val="22"/>
                <w:szCs w:val="22"/>
                <w:lang w:val="fr-BE"/>
              </w:rPr>
              <w:t>En outre, les conditions suivan</w:t>
            </w:r>
            <w:r w:rsidR="003E52A6">
              <w:rPr>
                <w:rFonts w:cs="Arial"/>
                <w:sz w:val="22"/>
                <w:szCs w:val="22"/>
                <w:lang w:val="fr-BE"/>
              </w:rPr>
              <w:t xml:space="preserve">tes s’appliquent aux chèques consommation </w:t>
            </w:r>
            <w:r w:rsidRPr="003E52A6">
              <w:rPr>
                <w:rFonts w:cs="Arial"/>
                <w:sz w:val="22"/>
                <w:szCs w:val="22"/>
                <w:lang w:val="fr-BE"/>
              </w:rPr>
              <w:t xml:space="preserve">: </w:t>
            </w:r>
          </w:p>
          <w:p w14:paraId="0E6B8F1A" w14:textId="210D28B1" w:rsidR="003C2C51" w:rsidRPr="00347392" w:rsidRDefault="00347392" w:rsidP="003C2C51">
            <w:pPr>
              <w:numPr>
                <w:ilvl w:val="0"/>
                <w:numId w:val="11"/>
              </w:numPr>
              <w:shd w:val="clear" w:color="auto" w:fill="FFFFFF"/>
              <w:spacing w:after="240"/>
              <w:rPr>
                <w:rFonts w:cs="Arial"/>
                <w:noProof w:val="0"/>
                <w:sz w:val="22"/>
                <w:szCs w:val="22"/>
                <w:lang w:val="fr-BE" w:eastAsia="nl-BE"/>
              </w:rPr>
            </w:pPr>
            <w:r w:rsidRPr="00347392">
              <w:rPr>
                <w:rFonts w:cs="Arial"/>
                <w:noProof w:val="0"/>
                <w:sz w:val="22"/>
                <w:szCs w:val="22"/>
                <w:lang w:val="fr-BE" w:eastAsia="nl-BE"/>
              </w:rPr>
              <w:t>Ils ne peuvent pas être accordés en remplacement ou en conversion de la</w:t>
            </w:r>
            <w:r>
              <w:rPr>
                <w:rFonts w:cs="Arial"/>
                <w:noProof w:val="0"/>
                <w:sz w:val="22"/>
                <w:szCs w:val="22"/>
                <w:lang w:val="fr-BE" w:eastAsia="nl-BE"/>
              </w:rPr>
              <w:t xml:space="preserve"> rémunération, de primes, avantages en nature ou autres avantages</w:t>
            </w:r>
            <w:r w:rsidR="003C2C51" w:rsidRPr="00347392">
              <w:rPr>
                <w:rFonts w:cs="Arial"/>
                <w:noProof w:val="0"/>
                <w:sz w:val="22"/>
                <w:szCs w:val="22"/>
                <w:lang w:val="fr-BE" w:eastAsia="nl-BE"/>
              </w:rPr>
              <w:t xml:space="preserve">, </w:t>
            </w:r>
            <w:r>
              <w:rPr>
                <w:rFonts w:cs="Arial"/>
                <w:noProof w:val="0"/>
                <w:sz w:val="22"/>
                <w:szCs w:val="22"/>
                <w:lang w:val="fr-BE" w:eastAsia="nl-BE"/>
              </w:rPr>
              <w:t>soumis ou non aux cotisations de sécurité sociale</w:t>
            </w:r>
            <w:r w:rsidR="003C2C51" w:rsidRPr="00347392">
              <w:rPr>
                <w:rFonts w:cs="Arial"/>
                <w:noProof w:val="0"/>
                <w:sz w:val="22"/>
                <w:szCs w:val="22"/>
                <w:lang w:val="fr-BE" w:eastAsia="nl-BE"/>
              </w:rPr>
              <w:t>.</w:t>
            </w:r>
          </w:p>
          <w:p w14:paraId="4F5DA386" w14:textId="6B63F5A4" w:rsidR="003C2C51" w:rsidRPr="00347392" w:rsidRDefault="00347392" w:rsidP="003C2C51">
            <w:pPr>
              <w:numPr>
                <w:ilvl w:val="0"/>
                <w:numId w:val="11"/>
              </w:numPr>
              <w:shd w:val="clear" w:color="auto" w:fill="FFFFFF"/>
              <w:spacing w:after="240"/>
              <w:rPr>
                <w:rFonts w:cs="Arial"/>
                <w:noProof w:val="0"/>
                <w:sz w:val="22"/>
                <w:szCs w:val="22"/>
                <w:lang w:val="fr-BE" w:eastAsia="nl-BE"/>
              </w:rPr>
            </w:pPr>
            <w:r w:rsidRPr="00347392">
              <w:rPr>
                <w:rFonts w:cs="Arial"/>
                <w:noProof w:val="0"/>
                <w:sz w:val="22"/>
                <w:szCs w:val="22"/>
                <w:lang w:val="fr-BE" w:eastAsia="nl-BE"/>
              </w:rPr>
              <w:t xml:space="preserve">Les chèques </w:t>
            </w:r>
            <w:r w:rsidR="001257BE">
              <w:rPr>
                <w:rFonts w:cs="Arial"/>
                <w:noProof w:val="0"/>
                <w:sz w:val="22"/>
                <w:szCs w:val="22"/>
                <w:lang w:val="fr-BE" w:eastAsia="nl-BE"/>
              </w:rPr>
              <w:t xml:space="preserve">format </w:t>
            </w:r>
            <w:r w:rsidRPr="00347392">
              <w:rPr>
                <w:rFonts w:cs="Arial"/>
                <w:noProof w:val="0"/>
                <w:sz w:val="22"/>
                <w:szCs w:val="22"/>
                <w:lang w:val="fr-BE" w:eastAsia="nl-BE"/>
              </w:rPr>
              <w:t>papier ou électronique ne peuvent pas être échangés entièrement ou par</w:t>
            </w:r>
            <w:r>
              <w:rPr>
                <w:rFonts w:cs="Arial"/>
                <w:noProof w:val="0"/>
                <w:sz w:val="22"/>
                <w:szCs w:val="22"/>
                <w:lang w:val="fr-BE" w:eastAsia="nl-BE"/>
              </w:rPr>
              <w:t xml:space="preserve">tiellement </w:t>
            </w:r>
            <w:r w:rsidR="003C2C51" w:rsidRPr="00347392">
              <w:rPr>
                <w:rFonts w:cs="Arial"/>
                <w:noProof w:val="0"/>
                <w:sz w:val="22"/>
                <w:szCs w:val="22"/>
                <w:lang w:val="fr-BE" w:eastAsia="nl-BE"/>
              </w:rPr>
              <w:t>e</w:t>
            </w:r>
            <w:r>
              <w:rPr>
                <w:rFonts w:cs="Arial"/>
                <w:noProof w:val="0"/>
                <w:sz w:val="22"/>
                <w:szCs w:val="22"/>
                <w:lang w:val="fr-BE" w:eastAsia="nl-BE"/>
              </w:rPr>
              <w:t>n espèces</w:t>
            </w:r>
            <w:r w:rsidR="003C2C51" w:rsidRPr="00347392">
              <w:rPr>
                <w:rFonts w:cs="Arial"/>
                <w:noProof w:val="0"/>
                <w:sz w:val="22"/>
                <w:szCs w:val="22"/>
                <w:lang w:val="fr-BE" w:eastAsia="nl-BE"/>
              </w:rPr>
              <w:t>.</w:t>
            </w:r>
          </w:p>
          <w:p w14:paraId="565725AB" w14:textId="3DD04494" w:rsidR="003C2C51" w:rsidRPr="00E434C1" w:rsidRDefault="00E434C1" w:rsidP="003C2C51">
            <w:pPr>
              <w:numPr>
                <w:ilvl w:val="0"/>
                <w:numId w:val="11"/>
              </w:numPr>
              <w:shd w:val="clear" w:color="auto" w:fill="FFFFFF"/>
              <w:spacing w:after="240"/>
              <w:rPr>
                <w:rFonts w:cs="Arial"/>
                <w:noProof w:val="0"/>
                <w:sz w:val="22"/>
                <w:szCs w:val="22"/>
                <w:lang w:val="fr-BE" w:eastAsia="nl-BE"/>
              </w:rPr>
            </w:pPr>
            <w:r w:rsidRPr="00E434C1">
              <w:rPr>
                <w:rFonts w:cs="Arial"/>
                <w:noProof w:val="0"/>
                <w:sz w:val="22"/>
                <w:szCs w:val="22"/>
                <w:lang w:val="fr-BE" w:eastAsia="nl-BE"/>
              </w:rPr>
              <w:t>Les chèques doivent être émis au nom du trav</w:t>
            </w:r>
            <w:r>
              <w:rPr>
                <w:rFonts w:cs="Arial"/>
                <w:noProof w:val="0"/>
                <w:sz w:val="22"/>
                <w:szCs w:val="22"/>
                <w:lang w:val="fr-BE" w:eastAsia="nl-BE"/>
              </w:rPr>
              <w:t>ailleur</w:t>
            </w:r>
            <w:r w:rsidR="003C2C51" w:rsidRPr="00E434C1">
              <w:rPr>
                <w:rFonts w:cs="Arial"/>
                <w:noProof w:val="0"/>
                <w:sz w:val="22"/>
                <w:szCs w:val="22"/>
                <w:lang w:val="fr-BE" w:eastAsia="nl-BE"/>
              </w:rPr>
              <w:t>.</w:t>
            </w:r>
          </w:p>
          <w:p w14:paraId="5E002CF8" w14:textId="77777777" w:rsidR="008F1813" w:rsidRDefault="00E434C1" w:rsidP="008F1813">
            <w:pPr>
              <w:numPr>
                <w:ilvl w:val="0"/>
                <w:numId w:val="11"/>
              </w:numPr>
              <w:shd w:val="clear" w:color="auto" w:fill="FFFFFF"/>
              <w:spacing w:after="240"/>
              <w:rPr>
                <w:rFonts w:cs="Arial"/>
                <w:sz w:val="22"/>
                <w:szCs w:val="22"/>
                <w:lang w:val="fr-BE"/>
              </w:rPr>
            </w:pPr>
            <w:r w:rsidRPr="00E434C1">
              <w:rPr>
                <w:rFonts w:cs="Arial"/>
                <w:noProof w:val="0"/>
                <w:sz w:val="22"/>
                <w:szCs w:val="22"/>
                <w:lang w:val="fr-BE" w:eastAsia="nl-BE"/>
              </w:rPr>
              <w:t xml:space="preserve">Les chèques consommation doivent être </w:t>
            </w:r>
            <w:r w:rsidR="001257BE">
              <w:rPr>
                <w:rFonts w:cs="Arial"/>
                <w:noProof w:val="0"/>
                <w:sz w:val="22"/>
                <w:szCs w:val="22"/>
                <w:lang w:val="fr-BE" w:eastAsia="nl-BE"/>
              </w:rPr>
              <w:t>é</w:t>
            </w:r>
            <w:r w:rsidRPr="00E434C1">
              <w:rPr>
                <w:rFonts w:cs="Arial"/>
                <w:noProof w:val="0"/>
                <w:sz w:val="22"/>
                <w:szCs w:val="22"/>
                <w:lang w:val="fr-BE" w:eastAsia="nl-BE"/>
              </w:rPr>
              <w:t xml:space="preserve">mis par l’entreprise </w:t>
            </w:r>
            <w:r>
              <w:rPr>
                <w:rFonts w:cs="Arial"/>
                <w:noProof w:val="0"/>
                <w:sz w:val="22"/>
                <w:szCs w:val="22"/>
                <w:lang w:val="fr-BE" w:eastAsia="nl-BE"/>
              </w:rPr>
              <w:t>entre le 1</w:t>
            </w:r>
            <w:r w:rsidRPr="00E434C1">
              <w:rPr>
                <w:rFonts w:cs="Arial"/>
                <w:noProof w:val="0"/>
                <w:sz w:val="22"/>
                <w:szCs w:val="22"/>
                <w:vertAlign w:val="superscript"/>
                <w:lang w:val="fr-BE" w:eastAsia="nl-BE"/>
              </w:rPr>
              <w:t>er</w:t>
            </w:r>
            <w:r>
              <w:rPr>
                <w:rFonts w:cs="Arial"/>
                <w:noProof w:val="0"/>
                <w:sz w:val="22"/>
                <w:szCs w:val="22"/>
                <w:lang w:val="fr-BE" w:eastAsia="nl-BE"/>
              </w:rPr>
              <w:t xml:space="preserve"> août 2021 et le 31 décembre 2021.</w:t>
            </w:r>
          </w:p>
          <w:p w14:paraId="3685EC04" w14:textId="77E31742" w:rsidR="003C2C51" w:rsidRPr="00E434C1" w:rsidRDefault="00E434C1" w:rsidP="008F1813">
            <w:pPr>
              <w:numPr>
                <w:ilvl w:val="0"/>
                <w:numId w:val="11"/>
              </w:numPr>
              <w:shd w:val="clear" w:color="auto" w:fill="FFFFFF"/>
              <w:spacing w:after="240"/>
              <w:rPr>
                <w:rFonts w:cs="Arial"/>
                <w:sz w:val="22"/>
                <w:szCs w:val="22"/>
                <w:lang w:val="fr-BE"/>
              </w:rPr>
            </w:pPr>
            <w:r w:rsidRPr="00E434C1">
              <w:rPr>
                <w:rFonts w:cs="Arial"/>
                <w:noProof w:val="0"/>
                <w:sz w:val="22"/>
                <w:szCs w:val="22"/>
                <w:lang w:val="fr-BE" w:eastAsia="nl-BE"/>
              </w:rPr>
              <w:t xml:space="preserve">Ils restent valables jusqu’au </w:t>
            </w:r>
            <w:r w:rsidR="003C2C51" w:rsidRPr="00E434C1">
              <w:rPr>
                <w:rFonts w:cs="Arial"/>
                <w:noProof w:val="0"/>
                <w:sz w:val="22"/>
                <w:szCs w:val="22"/>
                <w:lang w:val="fr-BE" w:eastAsia="nl-BE"/>
              </w:rPr>
              <w:t>31 d</w:t>
            </w:r>
            <w:r w:rsidRPr="00E434C1">
              <w:rPr>
                <w:rFonts w:cs="Arial"/>
                <w:noProof w:val="0"/>
                <w:sz w:val="22"/>
                <w:szCs w:val="22"/>
                <w:lang w:val="fr-BE" w:eastAsia="nl-BE"/>
              </w:rPr>
              <w:t>é</w:t>
            </w:r>
            <w:r w:rsidR="003C2C51" w:rsidRPr="00E434C1">
              <w:rPr>
                <w:rFonts w:cs="Arial"/>
                <w:noProof w:val="0"/>
                <w:sz w:val="22"/>
                <w:szCs w:val="22"/>
                <w:lang w:val="fr-BE" w:eastAsia="nl-BE"/>
              </w:rPr>
              <w:t>cemb</w:t>
            </w:r>
            <w:r w:rsidR="001257BE">
              <w:rPr>
                <w:rFonts w:cs="Arial"/>
                <w:noProof w:val="0"/>
                <w:sz w:val="22"/>
                <w:szCs w:val="22"/>
                <w:lang w:val="fr-BE" w:eastAsia="nl-BE"/>
              </w:rPr>
              <w:t xml:space="preserve">re </w:t>
            </w:r>
            <w:r w:rsidR="003C2C51" w:rsidRPr="00E434C1">
              <w:rPr>
                <w:rFonts w:cs="Arial"/>
                <w:noProof w:val="0"/>
                <w:sz w:val="22"/>
                <w:szCs w:val="22"/>
                <w:lang w:val="fr-BE" w:eastAsia="nl-BE"/>
              </w:rPr>
              <w:t>2022.</w:t>
            </w:r>
          </w:p>
        </w:tc>
        <w:tc>
          <w:tcPr>
            <w:tcW w:w="285" w:type="dxa"/>
          </w:tcPr>
          <w:p w14:paraId="4ABC361C" w14:textId="77777777" w:rsidR="003C2C51" w:rsidRPr="00E434C1" w:rsidRDefault="003C2C51" w:rsidP="003C2C51">
            <w:pPr>
              <w:jc w:val="both"/>
              <w:rPr>
                <w:rFonts w:cs="Arial"/>
                <w:sz w:val="22"/>
                <w:szCs w:val="22"/>
                <w:lang w:val="fr-BE"/>
              </w:rPr>
            </w:pPr>
          </w:p>
        </w:tc>
        <w:tc>
          <w:tcPr>
            <w:tcW w:w="5353" w:type="dxa"/>
          </w:tcPr>
          <w:p w14:paraId="3CA5D124" w14:textId="28EF692C" w:rsidR="003C2C51" w:rsidRPr="00EB29E7" w:rsidRDefault="003C2C51" w:rsidP="003C2C51">
            <w:pPr>
              <w:jc w:val="both"/>
              <w:rPr>
                <w:rFonts w:cs="Arial"/>
                <w:sz w:val="22"/>
                <w:szCs w:val="22"/>
                <w:lang w:val="nl-BE"/>
              </w:rPr>
            </w:pPr>
            <w:r w:rsidRPr="00EB29E7">
              <w:rPr>
                <w:rFonts w:cs="Arial"/>
                <w:b/>
                <w:sz w:val="22"/>
                <w:szCs w:val="22"/>
                <w:lang w:val="nl-BE"/>
              </w:rPr>
              <w:t xml:space="preserve">§ </w:t>
            </w:r>
            <w:r>
              <w:rPr>
                <w:rFonts w:cs="Arial"/>
                <w:b/>
                <w:sz w:val="22"/>
                <w:szCs w:val="22"/>
                <w:lang w:val="nl-BE"/>
              </w:rPr>
              <w:t>5</w:t>
            </w:r>
            <w:r w:rsidRPr="00EB29E7">
              <w:rPr>
                <w:rFonts w:cs="Arial"/>
                <w:b/>
                <w:sz w:val="22"/>
                <w:szCs w:val="22"/>
                <w:lang w:val="nl-BE"/>
              </w:rPr>
              <w:t>.</w:t>
            </w:r>
            <w:r w:rsidRPr="00EB29E7">
              <w:rPr>
                <w:rFonts w:cs="Arial"/>
                <w:sz w:val="22"/>
                <w:szCs w:val="22"/>
                <w:lang w:val="nl-BE"/>
              </w:rPr>
              <w:t xml:space="preserve"> </w:t>
            </w:r>
            <w:r w:rsidRPr="00BB3269">
              <w:rPr>
                <w:rFonts w:cs="Arial"/>
                <w:sz w:val="22"/>
                <w:szCs w:val="22"/>
                <w:lang w:val="nl-BE"/>
              </w:rPr>
              <w:t xml:space="preserve">Voor de </w:t>
            </w:r>
            <w:r w:rsidRPr="00EB29E7">
              <w:rPr>
                <w:rFonts w:cs="Arial"/>
                <w:sz w:val="22"/>
                <w:szCs w:val="22"/>
                <w:lang w:val="nl-BE"/>
              </w:rPr>
              <w:t xml:space="preserve">consumptiecheques geldt bovendien dat: </w:t>
            </w:r>
          </w:p>
          <w:p w14:paraId="405538F4" w14:textId="3093C0A5" w:rsidR="003C2C51" w:rsidRPr="00EB29E7" w:rsidRDefault="003C2C51" w:rsidP="003C2C51">
            <w:pPr>
              <w:numPr>
                <w:ilvl w:val="0"/>
                <w:numId w:val="11"/>
              </w:numPr>
              <w:shd w:val="clear" w:color="auto" w:fill="FFFFFF"/>
              <w:spacing w:after="240"/>
              <w:rPr>
                <w:rFonts w:cs="Arial"/>
                <w:noProof w:val="0"/>
                <w:sz w:val="22"/>
                <w:szCs w:val="22"/>
                <w:lang w:val="nl-BE" w:eastAsia="nl-BE"/>
              </w:rPr>
            </w:pPr>
            <w:r w:rsidRPr="00EB29E7">
              <w:rPr>
                <w:rFonts w:cs="Arial"/>
                <w:noProof w:val="0"/>
                <w:sz w:val="22"/>
                <w:szCs w:val="22"/>
                <w:lang w:val="nl-BE" w:eastAsia="nl-BE"/>
              </w:rPr>
              <w:t xml:space="preserve">Deze niet mogen worden toegekend ter vervanging van of als omzetting van loon, premies, voordelen in natura of andere voordelen, al dan niet onderworpen aan </w:t>
            </w:r>
            <w:proofErr w:type="spellStart"/>
            <w:r w:rsidRPr="00EB29E7">
              <w:rPr>
                <w:rFonts w:cs="Arial"/>
                <w:noProof w:val="0"/>
                <w:sz w:val="22"/>
                <w:szCs w:val="22"/>
                <w:lang w:val="nl-BE" w:eastAsia="nl-BE"/>
              </w:rPr>
              <w:t>socialezekerheidsbijdragen</w:t>
            </w:r>
            <w:proofErr w:type="spellEnd"/>
            <w:r w:rsidRPr="00EB29E7">
              <w:rPr>
                <w:rFonts w:cs="Arial"/>
                <w:noProof w:val="0"/>
                <w:sz w:val="22"/>
                <w:szCs w:val="22"/>
                <w:lang w:val="nl-BE" w:eastAsia="nl-BE"/>
              </w:rPr>
              <w:t>.</w:t>
            </w:r>
          </w:p>
          <w:p w14:paraId="2076D18B" w14:textId="57F23988" w:rsidR="003C2C51" w:rsidRPr="00EB29E7" w:rsidRDefault="003C2C51" w:rsidP="003C2C51">
            <w:pPr>
              <w:numPr>
                <w:ilvl w:val="0"/>
                <w:numId w:val="11"/>
              </w:numPr>
              <w:shd w:val="clear" w:color="auto" w:fill="FFFFFF"/>
              <w:spacing w:after="240"/>
              <w:rPr>
                <w:rFonts w:cs="Arial"/>
                <w:noProof w:val="0"/>
                <w:sz w:val="22"/>
                <w:szCs w:val="22"/>
                <w:lang w:val="nl-BE" w:eastAsia="nl-BE"/>
              </w:rPr>
            </w:pPr>
            <w:r w:rsidRPr="00EB29E7">
              <w:rPr>
                <w:rFonts w:cs="Arial"/>
                <w:noProof w:val="0"/>
                <w:sz w:val="22"/>
                <w:szCs w:val="22"/>
                <w:lang w:val="nl-BE" w:eastAsia="nl-BE"/>
              </w:rPr>
              <w:t>De papieren of elektronische cheques kunnen niet geheel of gedeeltelijk voor geld ingewisseld worden.</w:t>
            </w:r>
          </w:p>
          <w:p w14:paraId="0951805D" w14:textId="77777777" w:rsidR="003C2C51" w:rsidRPr="00EB29E7" w:rsidRDefault="003C2C51" w:rsidP="003C2C51">
            <w:pPr>
              <w:numPr>
                <w:ilvl w:val="0"/>
                <w:numId w:val="11"/>
              </w:numPr>
              <w:shd w:val="clear" w:color="auto" w:fill="FFFFFF"/>
              <w:spacing w:after="240"/>
              <w:rPr>
                <w:rFonts w:cs="Arial"/>
                <w:noProof w:val="0"/>
                <w:sz w:val="22"/>
                <w:szCs w:val="22"/>
                <w:lang w:val="nl-BE" w:eastAsia="nl-BE"/>
              </w:rPr>
            </w:pPr>
            <w:r w:rsidRPr="00EB29E7">
              <w:rPr>
                <w:rFonts w:cs="Arial"/>
                <w:noProof w:val="0"/>
                <w:sz w:val="22"/>
                <w:szCs w:val="22"/>
                <w:lang w:val="nl-BE" w:eastAsia="nl-BE"/>
              </w:rPr>
              <w:t>De cheques worden uitgereikt op naam van de werknemer.</w:t>
            </w:r>
          </w:p>
          <w:p w14:paraId="16B63279" w14:textId="41DD8E79" w:rsidR="003C2C51" w:rsidRPr="00EB29E7" w:rsidRDefault="003C2C51" w:rsidP="003C2C51">
            <w:pPr>
              <w:numPr>
                <w:ilvl w:val="0"/>
                <w:numId w:val="11"/>
              </w:numPr>
              <w:shd w:val="clear" w:color="auto" w:fill="FFFFFF"/>
              <w:spacing w:after="240"/>
              <w:rPr>
                <w:rFonts w:cs="Arial"/>
                <w:noProof w:val="0"/>
                <w:sz w:val="22"/>
                <w:szCs w:val="22"/>
                <w:lang w:val="nl-BE" w:eastAsia="nl-BE"/>
              </w:rPr>
            </w:pPr>
            <w:r w:rsidRPr="00EB29E7">
              <w:rPr>
                <w:rFonts w:cs="Arial"/>
                <w:noProof w:val="0"/>
                <w:sz w:val="22"/>
                <w:szCs w:val="22"/>
                <w:lang w:val="nl-BE" w:eastAsia="nl-BE"/>
              </w:rPr>
              <w:t>De consumptiecheques moeten tussen 1 augustus 2021 en 31 december 2021 uitgegeven worden door de onderneming.</w:t>
            </w:r>
          </w:p>
          <w:p w14:paraId="3174B627" w14:textId="248CB7F8" w:rsidR="003C2C51" w:rsidRPr="00EB29E7" w:rsidRDefault="003C2C51" w:rsidP="003C2C51">
            <w:pPr>
              <w:numPr>
                <w:ilvl w:val="0"/>
                <w:numId w:val="11"/>
              </w:numPr>
              <w:shd w:val="clear" w:color="auto" w:fill="FFFFFF"/>
              <w:spacing w:after="240"/>
              <w:rPr>
                <w:rFonts w:cs="Arial"/>
                <w:noProof w:val="0"/>
                <w:sz w:val="22"/>
                <w:szCs w:val="22"/>
                <w:lang w:val="nl-BE" w:eastAsia="nl-BE"/>
              </w:rPr>
            </w:pPr>
            <w:r w:rsidRPr="00EB29E7">
              <w:rPr>
                <w:rFonts w:cs="Arial"/>
                <w:noProof w:val="0"/>
                <w:sz w:val="22"/>
                <w:szCs w:val="22"/>
                <w:lang w:val="nl-BE" w:eastAsia="nl-BE"/>
              </w:rPr>
              <w:t>Ze blijven geldig tot 31 december 2022.</w:t>
            </w:r>
          </w:p>
        </w:tc>
      </w:tr>
      <w:tr w:rsidR="003C2C51" w:rsidRPr="00F558F4" w14:paraId="538FF411" w14:textId="77777777" w:rsidTr="00933DD7">
        <w:trPr>
          <w:trHeight w:val="20"/>
        </w:trPr>
        <w:tc>
          <w:tcPr>
            <w:tcW w:w="5351" w:type="dxa"/>
          </w:tcPr>
          <w:p w14:paraId="4C6E08E5" w14:textId="77777777" w:rsidR="003C2C51" w:rsidRPr="00BB3269" w:rsidRDefault="003C2C51" w:rsidP="003C2C51">
            <w:pPr>
              <w:jc w:val="both"/>
              <w:rPr>
                <w:rFonts w:cs="Arial"/>
                <w:b/>
                <w:sz w:val="22"/>
                <w:szCs w:val="22"/>
                <w:lang w:val="nl-BE"/>
              </w:rPr>
            </w:pPr>
          </w:p>
        </w:tc>
        <w:tc>
          <w:tcPr>
            <w:tcW w:w="285" w:type="dxa"/>
          </w:tcPr>
          <w:p w14:paraId="3458222B" w14:textId="77777777" w:rsidR="003C2C51" w:rsidRPr="00EB29E7" w:rsidRDefault="003C2C51" w:rsidP="003C2C51">
            <w:pPr>
              <w:jc w:val="both"/>
              <w:rPr>
                <w:rFonts w:cs="Arial"/>
                <w:sz w:val="22"/>
                <w:szCs w:val="22"/>
                <w:lang w:val="nl-BE"/>
              </w:rPr>
            </w:pPr>
          </w:p>
        </w:tc>
        <w:tc>
          <w:tcPr>
            <w:tcW w:w="5353" w:type="dxa"/>
          </w:tcPr>
          <w:p w14:paraId="34239175" w14:textId="77777777" w:rsidR="003C2C51" w:rsidRPr="00EB29E7" w:rsidRDefault="003C2C51" w:rsidP="003C2C51">
            <w:pPr>
              <w:jc w:val="both"/>
              <w:rPr>
                <w:rFonts w:cs="Arial"/>
                <w:b/>
                <w:sz w:val="22"/>
                <w:szCs w:val="22"/>
                <w:lang w:val="nl-BE"/>
              </w:rPr>
            </w:pPr>
          </w:p>
        </w:tc>
      </w:tr>
      <w:tr w:rsidR="003C2C51" w:rsidRPr="00F558F4" w14:paraId="5967A787" w14:textId="77777777" w:rsidTr="00933DD7">
        <w:trPr>
          <w:trHeight w:val="20"/>
        </w:trPr>
        <w:tc>
          <w:tcPr>
            <w:tcW w:w="5351" w:type="dxa"/>
          </w:tcPr>
          <w:p w14:paraId="66D2B8BD" w14:textId="58EC4AE6" w:rsidR="003E52A6" w:rsidRPr="003E52A6" w:rsidRDefault="003E52A6" w:rsidP="003E52A6">
            <w:pPr>
              <w:jc w:val="both"/>
              <w:rPr>
                <w:rFonts w:cs="Arial"/>
                <w:bCs/>
                <w:sz w:val="22"/>
                <w:szCs w:val="22"/>
                <w:lang w:val="fr-BE"/>
              </w:rPr>
            </w:pPr>
            <w:r w:rsidRPr="003E52A6">
              <w:rPr>
                <w:rFonts w:cs="Arial"/>
                <w:b/>
                <w:sz w:val="22"/>
                <w:szCs w:val="22"/>
                <w:lang w:val="fr-BE"/>
              </w:rPr>
              <w:t xml:space="preserve">§6. </w:t>
            </w:r>
            <w:r w:rsidRPr="003E52A6">
              <w:rPr>
                <w:rFonts w:cs="Arial"/>
                <w:bCs/>
                <w:sz w:val="22"/>
                <w:szCs w:val="22"/>
                <w:lang w:val="fr-BE"/>
              </w:rPr>
              <w:t xml:space="preserve">Le compte individuel du travailleur mentionnera la valeur de la prime corona. </w:t>
            </w:r>
          </w:p>
          <w:p w14:paraId="549323B7" w14:textId="3928A1C4" w:rsidR="003C2C51" w:rsidRPr="003E52A6" w:rsidRDefault="003C2C51" w:rsidP="003C2C51">
            <w:pPr>
              <w:jc w:val="both"/>
              <w:rPr>
                <w:rFonts w:cs="Arial"/>
                <w:sz w:val="22"/>
                <w:szCs w:val="22"/>
                <w:lang w:val="fr-BE"/>
              </w:rPr>
            </w:pPr>
          </w:p>
        </w:tc>
        <w:tc>
          <w:tcPr>
            <w:tcW w:w="285" w:type="dxa"/>
          </w:tcPr>
          <w:p w14:paraId="2BCE00C5" w14:textId="77777777" w:rsidR="003C2C51" w:rsidRPr="003E52A6" w:rsidRDefault="003C2C51" w:rsidP="003C2C51">
            <w:pPr>
              <w:jc w:val="both"/>
              <w:rPr>
                <w:rFonts w:cs="Arial"/>
                <w:sz w:val="22"/>
                <w:szCs w:val="22"/>
                <w:lang w:val="fr-BE"/>
              </w:rPr>
            </w:pPr>
          </w:p>
        </w:tc>
        <w:tc>
          <w:tcPr>
            <w:tcW w:w="5353" w:type="dxa"/>
          </w:tcPr>
          <w:p w14:paraId="19003E84" w14:textId="03A2781B" w:rsidR="003C2C51" w:rsidRPr="00EB29E7" w:rsidRDefault="003C2C51" w:rsidP="003C2C51">
            <w:pPr>
              <w:jc w:val="both"/>
              <w:rPr>
                <w:rFonts w:cs="Arial"/>
                <w:sz w:val="22"/>
                <w:szCs w:val="22"/>
                <w:lang w:val="nl-BE"/>
              </w:rPr>
            </w:pPr>
            <w:r w:rsidRPr="00EB29E7">
              <w:rPr>
                <w:rFonts w:cs="Arial"/>
                <w:b/>
                <w:sz w:val="22"/>
                <w:szCs w:val="22"/>
                <w:lang w:val="nl-BE"/>
              </w:rPr>
              <w:t xml:space="preserve">§ </w:t>
            </w:r>
            <w:r>
              <w:rPr>
                <w:rFonts w:cs="Arial"/>
                <w:b/>
                <w:sz w:val="22"/>
                <w:szCs w:val="22"/>
                <w:lang w:val="nl-BE"/>
              </w:rPr>
              <w:t>6</w:t>
            </w:r>
            <w:r w:rsidRPr="00EB29E7">
              <w:rPr>
                <w:rFonts w:cs="Arial"/>
                <w:b/>
                <w:sz w:val="22"/>
                <w:szCs w:val="22"/>
                <w:lang w:val="nl-BE"/>
              </w:rPr>
              <w:t xml:space="preserve"> </w:t>
            </w:r>
            <w:r w:rsidRPr="00EB29E7">
              <w:rPr>
                <w:rFonts w:cs="Arial"/>
                <w:sz w:val="22"/>
                <w:szCs w:val="22"/>
                <w:lang w:val="nl-BE"/>
              </w:rPr>
              <w:t xml:space="preserve">De individuele rekening van de werknemer zal de waarde van de coronapremie vermelden. </w:t>
            </w:r>
          </w:p>
          <w:p w14:paraId="396B033A" w14:textId="77777777" w:rsidR="003C2C51" w:rsidRPr="00EB29E7" w:rsidRDefault="003C2C51" w:rsidP="003C2C51">
            <w:pPr>
              <w:jc w:val="both"/>
              <w:rPr>
                <w:rFonts w:cs="Arial"/>
                <w:sz w:val="22"/>
                <w:szCs w:val="22"/>
                <w:lang w:val="nl-BE"/>
              </w:rPr>
            </w:pPr>
          </w:p>
        </w:tc>
      </w:tr>
      <w:tr w:rsidR="003C2C51" w:rsidRPr="00F558F4" w14:paraId="28878FB2" w14:textId="77777777" w:rsidTr="00933DD7">
        <w:trPr>
          <w:trHeight w:val="20"/>
        </w:trPr>
        <w:tc>
          <w:tcPr>
            <w:tcW w:w="5351" w:type="dxa"/>
          </w:tcPr>
          <w:p w14:paraId="7892CF9D" w14:textId="10F4A4C1" w:rsidR="003C2C51" w:rsidRPr="00EB29E7" w:rsidRDefault="003C2C51" w:rsidP="003C2C51">
            <w:pPr>
              <w:jc w:val="both"/>
              <w:rPr>
                <w:rFonts w:cs="Arial"/>
                <w:b/>
                <w:sz w:val="22"/>
                <w:szCs w:val="22"/>
                <w:lang w:val="fr-FR"/>
              </w:rPr>
            </w:pPr>
            <w:r w:rsidRPr="00BB3269">
              <w:rPr>
                <w:rFonts w:cs="Arial"/>
                <w:b/>
                <w:sz w:val="22"/>
                <w:szCs w:val="22"/>
                <w:lang w:val="fr-FR"/>
              </w:rPr>
              <w:t>§</w:t>
            </w:r>
            <w:r w:rsidR="003E52A6">
              <w:rPr>
                <w:rFonts w:cs="Arial"/>
                <w:b/>
                <w:sz w:val="22"/>
                <w:szCs w:val="22"/>
                <w:lang w:val="fr-FR"/>
              </w:rPr>
              <w:t>7.</w:t>
            </w:r>
            <w:r w:rsidRPr="00BB3269">
              <w:rPr>
                <w:rFonts w:cs="Arial"/>
                <w:b/>
                <w:sz w:val="22"/>
                <w:szCs w:val="22"/>
                <w:lang w:val="fr-FR"/>
              </w:rPr>
              <w:t xml:space="preserve"> </w:t>
            </w:r>
            <w:r w:rsidRPr="00EB29E7">
              <w:rPr>
                <w:rFonts w:cs="Arial"/>
                <w:sz w:val="22"/>
                <w:szCs w:val="22"/>
                <w:lang w:val="fr-FR"/>
              </w:rPr>
              <w:t>Des régimes éventuels plus favorables au niveau de l’entreprise restent d’application.</w:t>
            </w:r>
          </w:p>
        </w:tc>
        <w:tc>
          <w:tcPr>
            <w:tcW w:w="285" w:type="dxa"/>
          </w:tcPr>
          <w:p w14:paraId="3333B79E" w14:textId="77777777" w:rsidR="003C2C51" w:rsidRPr="00EB29E7" w:rsidRDefault="003C2C51" w:rsidP="003C2C51">
            <w:pPr>
              <w:jc w:val="both"/>
              <w:rPr>
                <w:rFonts w:cs="Arial"/>
                <w:sz w:val="22"/>
                <w:szCs w:val="22"/>
                <w:lang w:val="fr-FR"/>
              </w:rPr>
            </w:pPr>
          </w:p>
        </w:tc>
        <w:tc>
          <w:tcPr>
            <w:tcW w:w="5353" w:type="dxa"/>
          </w:tcPr>
          <w:p w14:paraId="6217EC5B" w14:textId="0AE6635A" w:rsidR="003C2C51" w:rsidRPr="00EB29E7" w:rsidRDefault="003C2C51" w:rsidP="003C2C51">
            <w:pPr>
              <w:jc w:val="both"/>
              <w:rPr>
                <w:rFonts w:cs="Arial"/>
                <w:sz w:val="22"/>
                <w:szCs w:val="22"/>
                <w:lang w:val="nl-BE"/>
              </w:rPr>
            </w:pPr>
            <w:r w:rsidRPr="00EB29E7">
              <w:rPr>
                <w:rFonts w:cs="Arial"/>
                <w:b/>
                <w:sz w:val="22"/>
                <w:szCs w:val="22"/>
                <w:lang w:val="nl-BE"/>
              </w:rPr>
              <w:t xml:space="preserve">§ </w:t>
            </w:r>
            <w:r>
              <w:rPr>
                <w:rFonts w:cs="Arial"/>
                <w:b/>
                <w:sz w:val="22"/>
                <w:szCs w:val="22"/>
                <w:lang w:val="nl-BE"/>
              </w:rPr>
              <w:t>7</w:t>
            </w:r>
            <w:r w:rsidRPr="00EB29E7">
              <w:rPr>
                <w:rFonts w:cs="Arial"/>
                <w:b/>
                <w:sz w:val="22"/>
                <w:szCs w:val="22"/>
                <w:lang w:val="nl-BE"/>
              </w:rPr>
              <w:t xml:space="preserve"> </w:t>
            </w:r>
            <w:r w:rsidRPr="00EB29E7">
              <w:rPr>
                <w:rFonts w:cs="Arial"/>
                <w:sz w:val="22"/>
                <w:szCs w:val="22"/>
                <w:lang w:val="nl-BE"/>
              </w:rPr>
              <w:t>Eventuele gunstiger regelingen op niveau van de onderneming blijven verder van toepassing.</w:t>
            </w:r>
          </w:p>
          <w:p w14:paraId="4AD35598" w14:textId="77777777" w:rsidR="003C2C51" w:rsidRPr="00EB29E7" w:rsidRDefault="003C2C51" w:rsidP="003C2C51">
            <w:pPr>
              <w:jc w:val="both"/>
              <w:rPr>
                <w:rFonts w:cs="Arial"/>
                <w:b/>
                <w:sz w:val="22"/>
                <w:szCs w:val="22"/>
                <w:lang w:val="nl-BE"/>
              </w:rPr>
            </w:pPr>
          </w:p>
        </w:tc>
      </w:tr>
      <w:tr w:rsidR="003C2C51" w:rsidRPr="00F558F4" w14:paraId="2405830C" w14:textId="77777777" w:rsidTr="00933DD7">
        <w:trPr>
          <w:trHeight w:val="20"/>
        </w:trPr>
        <w:tc>
          <w:tcPr>
            <w:tcW w:w="5351" w:type="dxa"/>
          </w:tcPr>
          <w:p w14:paraId="73A07395" w14:textId="77777777" w:rsidR="003C2C51" w:rsidRPr="00BB3269" w:rsidRDefault="003C2C51" w:rsidP="003C2C51">
            <w:pPr>
              <w:jc w:val="both"/>
              <w:rPr>
                <w:rFonts w:cs="Arial"/>
                <w:b/>
                <w:sz w:val="22"/>
                <w:szCs w:val="22"/>
                <w:lang w:val="nl-BE"/>
              </w:rPr>
            </w:pPr>
          </w:p>
        </w:tc>
        <w:tc>
          <w:tcPr>
            <w:tcW w:w="285" w:type="dxa"/>
          </w:tcPr>
          <w:p w14:paraId="6D7F05C0" w14:textId="77777777" w:rsidR="003C2C51" w:rsidRPr="00EB29E7" w:rsidRDefault="003C2C51" w:rsidP="003C2C51">
            <w:pPr>
              <w:jc w:val="both"/>
              <w:rPr>
                <w:rFonts w:cs="Arial"/>
                <w:sz w:val="22"/>
                <w:szCs w:val="22"/>
                <w:lang w:val="nl-BE"/>
              </w:rPr>
            </w:pPr>
          </w:p>
        </w:tc>
        <w:tc>
          <w:tcPr>
            <w:tcW w:w="5353" w:type="dxa"/>
          </w:tcPr>
          <w:p w14:paraId="3D0C82DF" w14:textId="77777777" w:rsidR="003C2C51" w:rsidRPr="00EB29E7" w:rsidRDefault="003C2C51" w:rsidP="003C2C51">
            <w:pPr>
              <w:jc w:val="both"/>
              <w:rPr>
                <w:rFonts w:cs="Arial"/>
                <w:b/>
                <w:sz w:val="22"/>
                <w:szCs w:val="22"/>
                <w:lang w:val="nl-BE"/>
              </w:rPr>
            </w:pPr>
          </w:p>
        </w:tc>
      </w:tr>
      <w:tr w:rsidR="003C2C51" w:rsidRPr="00EB29E7" w14:paraId="7E33009A" w14:textId="77777777" w:rsidTr="00933DD7">
        <w:trPr>
          <w:trHeight w:val="20"/>
        </w:trPr>
        <w:tc>
          <w:tcPr>
            <w:tcW w:w="5351" w:type="dxa"/>
          </w:tcPr>
          <w:p w14:paraId="2EA70527" w14:textId="77777777" w:rsidR="003C2C51" w:rsidRPr="00EB29E7" w:rsidRDefault="003C2C51" w:rsidP="003C2C51">
            <w:pPr>
              <w:jc w:val="both"/>
              <w:rPr>
                <w:rFonts w:cs="Arial"/>
                <w:b/>
                <w:sz w:val="22"/>
                <w:szCs w:val="22"/>
                <w:lang w:val="fr-FR"/>
              </w:rPr>
            </w:pPr>
            <w:r w:rsidRPr="00BB3269">
              <w:rPr>
                <w:rFonts w:cs="Arial"/>
                <w:b/>
                <w:bCs/>
                <w:sz w:val="22"/>
                <w:szCs w:val="22"/>
                <w:lang w:val="fr-FR"/>
              </w:rPr>
              <w:t xml:space="preserve">CHAPITRE VI. - </w:t>
            </w:r>
            <w:r w:rsidRPr="00EB29E7">
              <w:rPr>
                <w:rFonts w:cs="Arial"/>
                <w:b/>
                <w:bCs/>
                <w:i/>
                <w:sz w:val="22"/>
                <w:szCs w:val="22"/>
                <w:lang w:val="fr-FR"/>
              </w:rPr>
              <w:t>Durée de validité</w:t>
            </w:r>
          </w:p>
        </w:tc>
        <w:tc>
          <w:tcPr>
            <w:tcW w:w="285" w:type="dxa"/>
          </w:tcPr>
          <w:p w14:paraId="587D6DA7" w14:textId="77777777" w:rsidR="003C2C51" w:rsidRPr="00EB29E7" w:rsidRDefault="003C2C51" w:rsidP="003C2C51">
            <w:pPr>
              <w:jc w:val="both"/>
              <w:rPr>
                <w:rFonts w:cs="Arial"/>
                <w:sz w:val="22"/>
                <w:szCs w:val="22"/>
                <w:lang w:val="fr-FR"/>
              </w:rPr>
            </w:pPr>
          </w:p>
        </w:tc>
        <w:tc>
          <w:tcPr>
            <w:tcW w:w="5353" w:type="dxa"/>
          </w:tcPr>
          <w:p w14:paraId="5EE47A41" w14:textId="77777777" w:rsidR="003C2C51" w:rsidRPr="00EB29E7" w:rsidRDefault="003C2C51" w:rsidP="003C2C51">
            <w:pPr>
              <w:jc w:val="both"/>
              <w:rPr>
                <w:rFonts w:cs="Arial"/>
                <w:b/>
                <w:sz w:val="22"/>
                <w:szCs w:val="22"/>
                <w:lang w:val="fr-BE"/>
              </w:rPr>
            </w:pPr>
            <w:r w:rsidRPr="00EB29E7">
              <w:rPr>
                <w:rFonts w:cs="Arial"/>
                <w:b/>
                <w:bCs/>
                <w:sz w:val="22"/>
                <w:szCs w:val="22"/>
                <w:lang w:val="nl-BE"/>
              </w:rPr>
              <w:t xml:space="preserve">HOOFDSTUK VI. - </w:t>
            </w:r>
            <w:r w:rsidRPr="00EB29E7">
              <w:rPr>
                <w:rFonts w:cs="Arial"/>
                <w:b/>
                <w:bCs/>
                <w:i/>
                <w:sz w:val="22"/>
                <w:szCs w:val="22"/>
                <w:lang w:val="fr-BE"/>
              </w:rPr>
              <w:t>Geldigheidsduur</w:t>
            </w:r>
          </w:p>
        </w:tc>
      </w:tr>
      <w:tr w:rsidR="003C2C51" w:rsidRPr="00F558F4" w14:paraId="5ABCF14F" w14:textId="77777777" w:rsidTr="00933DD7">
        <w:trPr>
          <w:trHeight w:val="20"/>
        </w:trPr>
        <w:tc>
          <w:tcPr>
            <w:tcW w:w="5351" w:type="dxa"/>
          </w:tcPr>
          <w:p w14:paraId="05AB10DB" w14:textId="404DD1F0" w:rsidR="003C2C51" w:rsidRPr="00EB29E7" w:rsidRDefault="003C2C51" w:rsidP="003C2C51">
            <w:pPr>
              <w:jc w:val="both"/>
              <w:rPr>
                <w:rFonts w:cs="Arial"/>
                <w:b/>
                <w:sz w:val="22"/>
                <w:szCs w:val="22"/>
                <w:lang w:val="fr-BE"/>
              </w:rPr>
            </w:pPr>
            <w:r w:rsidRPr="00BB3269">
              <w:rPr>
                <w:rFonts w:cs="Arial"/>
                <w:b/>
                <w:bCs/>
                <w:sz w:val="22"/>
                <w:szCs w:val="22"/>
                <w:lang w:val="fr-BE"/>
              </w:rPr>
              <w:t>Art.4. § 1</w:t>
            </w:r>
            <w:r w:rsidRPr="00EB29E7">
              <w:rPr>
                <w:rFonts w:cs="Arial"/>
                <w:b/>
                <w:bCs/>
                <w:sz w:val="22"/>
                <w:szCs w:val="22"/>
                <w:lang w:val="fr-BE"/>
              </w:rPr>
              <w:t xml:space="preserve"> </w:t>
            </w:r>
            <w:r w:rsidR="00E434C1">
              <w:rPr>
                <w:rFonts w:cs="Arial"/>
                <w:bCs/>
                <w:sz w:val="22"/>
                <w:szCs w:val="22"/>
                <w:lang w:val="fr-BE"/>
              </w:rPr>
              <w:t>La présente</w:t>
            </w:r>
            <w:r w:rsidRPr="00EB29E7">
              <w:rPr>
                <w:rFonts w:cs="Arial"/>
                <w:bCs/>
                <w:sz w:val="22"/>
                <w:szCs w:val="22"/>
                <w:lang w:val="fr-BE"/>
              </w:rPr>
              <w:t xml:space="preserve"> convention collective de travail entre en vigueur le 1</w:t>
            </w:r>
            <w:r w:rsidRPr="00EB29E7">
              <w:rPr>
                <w:rFonts w:cs="Arial"/>
                <w:bCs/>
                <w:sz w:val="22"/>
                <w:szCs w:val="22"/>
                <w:vertAlign w:val="superscript"/>
                <w:lang w:val="fr-BE"/>
              </w:rPr>
              <w:t>er</w:t>
            </w:r>
            <w:r w:rsidRPr="00EB29E7">
              <w:rPr>
                <w:rFonts w:cs="Arial"/>
                <w:bCs/>
                <w:sz w:val="22"/>
                <w:szCs w:val="22"/>
                <w:lang w:val="fr-BE"/>
              </w:rPr>
              <w:t xml:space="preserve"> janvier 2021 et est conclue pour une durée déterminée jusqu’au 31 décembre 2021.</w:t>
            </w:r>
            <w:r w:rsidRPr="00EB29E7">
              <w:rPr>
                <w:rFonts w:cs="Arial"/>
                <w:b/>
                <w:bCs/>
                <w:sz w:val="22"/>
                <w:szCs w:val="22"/>
                <w:lang w:val="fr-BE"/>
              </w:rPr>
              <w:t xml:space="preserve"> </w:t>
            </w:r>
          </w:p>
        </w:tc>
        <w:tc>
          <w:tcPr>
            <w:tcW w:w="285" w:type="dxa"/>
          </w:tcPr>
          <w:p w14:paraId="0EB24D3F" w14:textId="77777777" w:rsidR="003C2C51" w:rsidRPr="00EB29E7" w:rsidRDefault="003C2C51" w:rsidP="003C2C51">
            <w:pPr>
              <w:jc w:val="both"/>
              <w:rPr>
                <w:rFonts w:cs="Arial"/>
                <w:sz w:val="22"/>
                <w:szCs w:val="22"/>
                <w:lang w:val="fr-BE"/>
              </w:rPr>
            </w:pPr>
          </w:p>
        </w:tc>
        <w:tc>
          <w:tcPr>
            <w:tcW w:w="5353" w:type="dxa"/>
          </w:tcPr>
          <w:p w14:paraId="694A1964" w14:textId="1E7921B5" w:rsidR="003C2C51" w:rsidRPr="00EB29E7" w:rsidRDefault="003C2C51" w:rsidP="003C2C51">
            <w:pPr>
              <w:jc w:val="both"/>
              <w:rPr>
                <w:rFonts w:cs="Arial"/>
                <w:b/>
                <w:sz w:val="22"/>
                <w:szCs w:val="22"/>
                <w:lang w:val="nl-BE"/>
              </w:rPr>
            </w:pPr>
            <w:r w:rsidRPr="00EB29E7">
              <w:rPr>
                <w:rFonts w:cs="Arial"/>
                <w:b/>
                <w:bCs/>
                <w:sz w:val="22"/>
                <w:szCs w:val="22"/>
                <w:lang w:val="nl-BE"/>
              </w:rPr>
              <w:t>Art.4. §1</w:t>
            </w:r>
            <w:r w:rsidRPr="00EB29E7">
              <w:rPr>
                <w:rFonts w:cs="Arial"/>
                <w:sz w:val="22"/>
                <w:szCs w:val="22"/>
                <w:lang w:val="nl-BE"/>
              </w:rPr>
              <w:t xml:space="preserve"> Deze collectieve arbeidsovereenkomst treedt in werking op 1  januari 2021 en is gesloten voor bepaalde duur tot en met 31 december 2021.</w:t>
            </w:r>
          </w:p>
        </w:tc>
      </w:tr>
      <w:tr w:rsidR="003C2C51" w:rsidRPr="00F558F4" w14:paraId="5993960F" w14:textId="77777777" w:rsidTr="00933DD7">
        <w:trPr>
          <w:trHeight w:val="20"/>
        </w:trPr>
        <w:tc>
          <w:tcPr>
            <w:tcW w:w="5351" w:type="dxa"/>
          </w:tcPr>
          <w:p w14:paraId="1D8257B1" w14:textId="77777777" w:rsidR="003C2C51" w:rsidRPr="00BB3269" w:rsidRDefault="003C2C51" w:rsidP="003C2C51">
            <w:pPr>
              <w:jc w:val="both"/>
              <w:rPr>
                <w:rFonts w:cs="Arial"/>
                <w:b/>
                <w:bCs/>
                <w:sz w:val="22"/>
                <w:szCs w:val="22"/>
                <w:lang w:val="nl-BE"/>
              </w:rPr>
            </w:pPr>
          </w:p>
        </w:tc>
        <w:tc>
          <w:tcPr>
            <w:tcW w:w="285" w:type="dxa"/>
          </w:tcPr>
          <w:p w14:paraId="2C6ADBAC" w14:textId="77777777" w:rsidR="003C2C51" w:rsidRPr="00EB29E7" w:rsidRDefault="003C2C51" w:rsidP="003C2C51">
            <w:pPr>
              <w:jc w:val="both"/>
              <w:rPr>
                <w:rFonts w:cs="Arial"/>
                <w:sz w:val="22"/>
                <w:szCs w:val="22"/>
                <w:lang w:val="nl-BE"/>
              </w:rPr>
            </w:pPr>
          </w:p>
        </w:tc>
        <w:tc>
          <w:tcPr>
            <w:tcW w:w="5353" w:type="dxa"/>
          </w:tcPr>
          <w:p w14:paraId="1A7A1C12" w14:textId="77777777" w:rsidR="003C2C51" w:rsidRPr="00EB29E7" w:rsidRDefault="003C2C51" w:rsidP="003C2C51">
            <w:pPr>
              <w:jc w:val="both"/>
              <w:rPr>
                <w:rFonts w:cs="Arial"/>
                <w:b/>
                <w:bCs/>
                <w:sz w:val="22"/>
                <w:szCs w:val="22"/>
                <w:lang w:val="nl-BE"/>
              </w:rPr>
            </w:pPr>
          </w:p>
        </w:tc>
      </w:tr>
      <w:tr w:rsidR="003C2C51" w:rsidRPr="00F558F4" w14:paraId="327F2FA8" w14:textId="77777777" w:rsidTr="00933DD7">
        <w:trPr>
          <w:trHeight w:val="20"/>
        </w:trPr>
        <w:tc>
          <w:tcPr>
            <w:tcW w:w="5351" w:type="dxa"/>
          </w:tcPr>
          <w:p w14:paraId="0DF0AE25" w14:textId="661FCA42" w:rsidR="003C2C51" w:rsidRPr="00EB29E7" w:rsidRDefault="003C2C51" w:rsidP="003C2C51">
            <w:pPr>
              <w:jc w:val="both"/>
              <w:rPr>
                <w:rFonts w:cs="Arial"/>
                <w:bCs/>
                <w:sz w:val="22"/>
                <w:szCs w:val="22"/>
                <w:lang w:val="fr-BE"/>
              </w:rPr>
            </w:pPr>
            <w:r w:rsidRPr="00BB3269">
              <w:rPr>
                <w:rFonts w:cs="Arial"/>
                <w:b/>
                <w:bCs/>
                <w:sz w:val="22"/>
                <w:szCs w:val="22"/>
                <w:lang w:val="fr-BE"/>
              </w:rPr>
              <w:t xml:space="preserve">§2. </w:t>
            </w:r>
            <w:r w:rsidRPr="00EB29E7">
              <w:rPr>
                <w:rFonts w:cs="Arial"/>
                <w:sz w:val="22"/>
                <w:szCs w:val="22"/>
                <w:lang w:val="fr-FR"/>
              </w:rPr>
              <w:t>Elle peut être dénoncée par chacune des parties contractantes. Cette dénonciation doit se faire au moins trois mois à l’avance par lettre recommandée</w:t>
            </w:r>
            <w:r w:rsidR="001257BE">
              <w:rPr>
                <w:rFonts w:cs="Arial"/>
                <w:sz w:val="22"/>
                <w:szCs w:val="22"/>
                <w:lang w:val="fr-FR"/>
              </w:rPr>
              <w:t xml:space="preserve"> </w:t>
            </w:r>
            <w:r w:rsidR="001257BE">
              <w:rPr>
                <w:rFonts w:cs="Arial"/>
                <w:sz w:val="22"/>
                <w:szCs w:val="22"/>
                <w:lang w:val="fr-FR"/>
              </w:rPr>
              <w:lastRenderedPageBreak/>
              <w:t xml:space="preserve">à la poste </w:t>
            </w:r>
            <w:r w:rsidRPr="00EB29E7">
              <w:rPr>
                <w:rFonts w:cs="Arial"/>
                <w:sz w:val="22"/>
                <w:szCs w:val="22"/>
                <w:lang w:val="fr-FR"/>
              </w:rPr>
              <w:t>adressée au Président de la sous-commission paritaire</w:t>
            </w:r>
            <w:r w:rsidR="008F1813">
              <w:rPr>
                <w:rFonts w:cs="Arial"/>
                <w:sz w:val="22"/>
                <w:szCs w:val="22"/>
                <w:lang w:val="fr-FR"/>
              </w:rPr>
              <w:t xml:space="preserve"> </w:t>
            </w:r>
            <w:r w:rsidR="008636F0">
              <w:rPr>
                <w:rFonts w:cs="Arial"/>
                <w:sz w:val="22"/>
                <w:szCs w:val="22"/>
                <w:lang w:val="fr-FR"/>
              </w:rPr>
              <w:t>pour le</w:t>
            </w:r>
            <w:r w:rsidR="008F1813">
              <w:rPr>
                <w:rFonts w:cs="Arial"/>
                <w:sz w:val="22"/>
                <w:szCs w:val="22"/>
                <w:lang w:val="fr-FR"/>
              </w:rPr>
              <w:t xml:space="preserve"> t</w:t>
            </w:r>
            <w:r w:rsidR="008F1813" w:rsidRPr="008F1813">
              <w:rPr>
                <w:rFonts w:cs="Arial"/>
                <w:color w:val="000000"/>
                <w:sz w:val="22"/>
                <w:szCs w:val="22"/>
                <w:lang w:val="fr-BE"/>
              </w:rPr>
              <w:t xml:space="preserve">ransport routier et la </w:t>
            </w:r>
            <w:r w:rsidR="008F1813">
              <w:rPr>
                <w:rFonts w:cs="Arial"/>
                <w:color w:val="000000"/>
                <w:sz w:val="22"/>
                <w:szCs w:val="22"/>
                <w:lang w:val="fr-BE"/>
              </w:rPr>
              <w:t>l</w:t>
            </w:r>
            <w:r w:rsidR="008F1813" w:rsidRPr="008F1813">
              <w:rPr>
                <w:rFonts w:cs="Arial"/>
                <w:color w:val="000000"/>
                <w:sz w:val="22"/>
                <w:szCs w:val="22"/>
                <w:lang w:val="fr-BE"/>
              </w:rPr>
              <w:t>ogis</w:t>
            </w:r>
            <w:r w:rsidR="008F1813" w:rsidRPr="008F1813">
              <w:rPr>
                <w:rFonts w:cs="Arial"/>
                <w:sz w:val="22"/>
                <w:szCs w:val="22"/>
                <w:lang w:val="fr-BE"/>
              </w:rPr>
              <w:t>tique pour compte de tiers</w:t>
            </w:r>
            <w:r w:rsidRPr="00EB29E7">
              <w:rPr>
                <w:rFonts w:cs="Arial"/>
                <w:sz w:val="22"/>
                <w:szCs w:val="22"/>
                <w:lang w:val="fr-FR"/>
              </w:rPr>
              <w:t xml:space="preserve">, qui en avisera sans délai les parties intéressées. </w:t>
            </w:r>
          </w:p>
        </w:tc>
        <w:tc>
          <w:tcPr>
            <w:tcW w:w="285" w:type="dxa"/>
          </w:tcPr>
          <w:p w14:paraId="65557C1C" w14:textId="77777777" w:rsidR="003C2C51" w:rsidRPr="00EB29E7" w:rsidRDefault="003C2C51" w:rsidP="003C2C51">
            <w:pPr>
              <w:jc w:val="both"/>
              <w:rPr>
                <w:rFonts w:cs="Arial"/>
                <w:sz w:val="22"/>
                <w:szCs w:val="22"/>
                <w:lang w:val="fr-BE"/>
              </w:rPr>
            </w:pPr>
          </w:p>
        </w:tc>
        <w:tc>
          <w:tcPr>
            <w:tcW w:w="5353" w:type="dxa"/>
          </w:tcPr>
          <w:p w14:paraId="1B8720A1" w14:textId="77777777" w:rsidR="003C2C51" w:rsidRPr="00EB29E7" w:rsidRDefault="003C2C51" w:rsidP="003C2C51">
            <w:pPr>
              <w:autoSpaceDE w:val="0"/>
              <w:autoSpaceDN w:val="0"/>
              <w:adjustRightInd w:val="0"/>
              <w:jc w:val="both"/>
              <w:rPr>
                <w:rFonts w:cs="Arial"/>
                <w:sz w:val="22"/>
                <w:szCs w:val="22"/>
                <w:lang w:val="nl-NL"/>
              </w:rPr>
            </w:pPr>
            <w:r w:rsidRPr="00EB29E7">
              <w:rPr>
                <w:rFonts w:cs="Arial"/>
                <w:b/>
                <w:sz w:val="22"/>
                <w:szCs w:val="22"/>
                <w:lang w:val="nl-NL"/>
              </w:rPr>
              <w:t xml:space="preserve">§ 2. </w:t>
            </w:r>
            <w:r w:rsidRPr="00EB29E7">
              <w:rPr>
                <w:rFonts w:cs="Arial"/>
                <w:sz w:val="22"/>
                <w:szCs w:val="22"/>
                <w:lang w:val="nl-NL"/>
              </w:rPr>
              <w:t>Zij kan door elk van de contracterende partijen worden opgezegd. Deze opzegging moet gebeuren minstens drie maanden op voorhand bij een ter post</w:t>
            </w:r>
          </w:p>
          <w:p w14:paraId="29FB8DE4" w14:textId="77777777" w:rsidR="003C2C51" w:rsidRPr="00EB29E7" w:rsidRDefault="003C2C51" w:rsidP="003C2C51">
            <w:pPr>
              <w:autoSpaceDE w:val="0"/>
              <w:autoSpaceDN w:val="0"/>
              <w:adjustRightInd w:val="0"/>
              <w:jc w:val="both"/>
              <w:rPr>
                <w:rFonts w:cs="Arial"/>
                <w:sz w:val="22"/>
                <w:szCs w:val="22"/>
                <w:lang w:val="nl-NL"/>
              </w:rPr>
            </w:pPr>
            <w:r w:rsidRPr="00EB29E7">
              <w:rPr>
                <w:rFonts w:cs="Arial"/>
                <w:sz w:val="22"/>
                <w:szCs w:val="22"/>
                <w:lang w:val="nl-NL"/>
              </w:rPr>
              <w:lastRenderedPageBreak/>
              <w:t>aangetekende brief, gericht aan de Voorzitter van het Paritair Subcomité voor het wegvervoer en de logistiek voor rekening van derden, die zonder verwijl de betrokken partijen in kennis zal stellen.</w:t>
            </w:r>
          </w:p>
        </w:tc>
      </w:tr>
      <w:tr w:rsidR="003C2C51" w:rsidRPr="00F558F4" w14:paraId="4768224D" w14:textId="77777777" w:rsidTr="00933DD7">
        <w:trPr>
          <w:trHeight w:val="20"/>
        </w:trPr>
        <w:tc>
          <w:tcPr>
            <w:tcW w:w="5351" w:type="dxa"/>
          </w:tcPr>
          <w:p w14:paraId="545412FA" w14:textId="77777777" w:rsidR="003C2C51" w:rsidRPr="00BB3269" w:rsidRDefault="003C2C51" w:rsidP="003C2C51">
            <w:pPr>
              <w:jc w:val="both"/>
              <w:rPr>
                <w:rFonts w:cs="Arial"/>
                <w:b/>
                <w:bCs/>
                <w:sz w:val="22"/>
                <w:szCs w:val="22"/>
                <w:lang w:val="nl-BE"/>
              </w:rPr>
            </w:pPr>
          </w:p>
        </w:tc>
        <w:tc>
          <w:tcPr>
            <w:tcW w:w="285" w:type="dxa"/>
          </w:tcPr>
          <w:p w14:paraId="3868DD95" w14:textId="77777777" w:rsidR="003C2C51" w:rsidRPr="00EB29E7" w:rsidRDefault="003C2C51" w:rsidP="003C2C51">
            <w:pPr>
              <w:jc w:val="both"/>
              <w:rPr>
                <w:rFonts w:cs="Arial"/>
                <w:sz w:val="22"/>
                <w:szCs w:val="22"/>
                <w:lang w:val="nl-BE"/>
              </w:rPr>
            </w:pPr>
          </w:p>
        </w:tc>
        <w:tc>
          <w:tcPr>
            <w:tcW w:w="5353" w:type="dxa"/>
          </w:tcPr>
          <w:p w14:paraId="2A097206" w14:textId="77777777" w:rsidR="003C2C51" w:rsidRPr="00EB29E7" w:rsidRDefault="003C2C51" w:rsidP="003C2C51">
            <w:pPr>
              <w:autoSpaceDE w:val="0"/>
              <w:autoSpaceDN w:val="0"/>
              <w:adjustRightInd w:val="0"/>
              <w:jc w:val="both"/>
              <w:rPr>
                <w:rFonts w:cs="Arial"/>
                <w:b/>
                <w:sz w:val="22"/>
                <w:szCs w:val="22"/>
                <w:lang w:val="nl-NL"/>
              </w:rPr>
            </w:pPr>
          </w:p>
        </w:tc>
      </w:tr>
      <w:tr w:rsidR="003C2C51" w:rsidRPr="00F558F4" w14:paraId="65B0043C" w14:textId="77777777" w:rsidTr="00933DD7">
        <w:trPr>
          <w:trHeight w:val="20"/>
        </w:trPr>
        <w:tc>
          <w:tcPr>
            <w:tcW w:w="5351" w:type="dxa"/>
          </w:tcPr>
          <w:p w14:paraId="00F8C0D0" w14:textId="77777777" w:rsidR="003C2C51" w:rsidRPr="00EB29E7" w:rsidRDefault="003C2C51" w:rsidP="003C2C51">
            <w:pPr>
              <w:jc w:val="both"/>
              <w:rPr>
                <w:rFonts w:cs="Arial"/>
                <w:b/>
                <w:bCs/>
                <w:sz w:val="22"/>
                <w:szCs w:val="22"/>
                <w:lang w:val="fr-BE"/>
              </w:rPr>
            </w:pPr>
            <w:r w:rsidRPr="00BB3269">
              <w:rPr>
                <w:rFonts w:cs="Arial"/>
                <w:sz w:val="22"/>
                <w:szCs w:val="22"/>
                <w:lang w:val="fr-FR"/>
              </w:rPr>
              <w:t>Le délai de préavis de trois mois prend cours à la date d’envoi de la lettre recommandée précitée.</w:t>
            </w:r>
          </w:p>
        </w:tc>
        <w:tc>
          <w:tcPr>
            <w:tcW w:w="285" w:type="dxa"/>
          </w:tcPr>
          <w:p w14:paraId="6209A10F" w14:textId="77777777" w:rsidR="003C2C51" w:rsidRPr="00EB29E7" w:rsidRDefault="003C2C51" w:rsidP="003C2C51">
            <w:pPr>
              <w:jc w:val="both"/>
              <w:rPr>
                <w:rFonts w:cs="Arial"/>
                <w:sz w:val="22"/>
                <w:szCs w:val="22"/>
                <w:lang w:val="fr-BE"/>
              </w:rPr>
            </w:pPr>
          </w:p>
        </w:tc>
        <w:tc>
          <w:tcPr>
            <w:tcW w:w="5353" w:type="dxa"/>
          </w:tcPr>
          <w:p w14:paraId="2674B0D1" w14:textId="77777777" w:rsidR="003C2C51" w:rsidRPr="00EB29E7" w:rsidRDefault="003C2C51" w:rsidP="003C2C51">
            <w:pPr>
              <w:autoSpaceDE w:val="0"/>
              <w:autoSpaceDN w:val="0"/>
              <w:adjustRightInd w:val="0"/>
              <w:jc w:val="both"/>
              <w:rPr>
                <w:rFonts w:cs="Arial"/>
                <w:sz w:val="22"/>
                <w:szCs w:val="22"/>
                <w:lang w:val="nl-NL"/>
              </w:rPr>
            </w:pPr>
            <w:r w:rsidRPr="00EB29E7">
              <w:rPr>
                <w:rFonts w:cs="Arial"/>
                <w:sz w:val="22"/>
                <w:szCs w:val="22"/>
                <w:lang w:val="nl-NL"/>
              </w:rPr>
              <w:t>De termijn van drie maanden begint te lopen vanaf de datum van verzending van bovengenoemde aangetekende brief.</w:t>
            </w:r>
          </w:p>
        </w:tc>
      </w:tr>
    </w:tbl>
    <w:p w14:paraId="2C9F687C" w14:textId="783ABCB7" w:rsidR="00D36713" w:rsidRDefault="00D36713" w:rsidP="00B63ACA">
      <w:pPr>
        <w:rPr>
          <w:lang w:val="nl-BE"/>
        </w:rPr>
      </w:pPr>
    </w:p>
    <w:p w14:paraId="0066AA00" w14:textId="7D947CAA" w:rsidR="009E6AF1" w:rsidRDefault="009E6AF1" w:rsidP="00B63ACA">
      <w:pPr>
        <w:rPr>
          <w:lang w:val="nl-BE"/>
        </w:rPr>
      </w:pPr>
    </w:p>
    <w:sectPr w:rsidR="009E6AF1">
      <w:footerReference w:type="even" r:id="rId11"/>
      <w:footerReference w:type="default" r:id="rId12"/>
      <w:pgSz w:w="11907" w:h="16840" w:code="9"/>
      <w:pgMar w:top="567" w:right="567" w:bottom="1242" w:left="567" w:header="709" w:footer="709" w:gutter="0"/>
      <w:paperSrc w:first="260" w:other="26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ACE85" w14:textId="77777777" w:rsidR="00A850D6" w:rsidRDefault="00A850D6" w:rsidP="00961880">
      <w:r>
        <w:separator/>
      </w:r>
    </w:p>
  </w:endnote>
  <w:endnote w:type="continuationSeparator" w:id="0">
    <w:p w14:paraId="3C5BA61C" w14:textId="77777777" w:rsidR="00A850D6" w:rsidRDefault="00A850D6" w:rsidP="0096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5183" w14:textId="77777777" w:rsidR="00E2377D" w:rsidRDefault="00E2377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1F9FF0E" w14:textId="77777777" w:rsidR="00E2377D" w:rsidRDefault="00E237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0C17" w14:textId="77777777" w:rsidR="00E2377D" w:rsidRPr="00144BF5" w:rsidRDefault="00B1627A">
    <w:pPr>
      <w:pStyle w:val="Voettekst"/>
      <w:rPr>
        <w:sz w:val="18"/>
        <w:szCs w:val="18"/>
        <w:lang w:val="nl-BE"/>
      </w:rPr>
    </w:pPr>
    <w:r>
      <w:rPr>
        <w:sz w:val="18"/>
        <w:szCs w:val="18"/>
        <w:lang w:val="nl-BE" w:eastAsia="nl-BE"/>
      </w:rPr>
      <mc:AlternateContent>
        <mc:Choice Requires="wps">
          <w:drawing>
            <wp:anchor distT="0" distB="0" distL="114300" distR="114300" simplePos="0" relativeHeight="251660288" behindDoc="0" locked="0" layoutInCell="1" allowOverlap="1" wp14:anchorId="2070AFF5" wp14:editId="1E1B0C8B">
              <wp:simplePos x="0" y="0"/>
              <wp:positionH relativeFrom="page">
                <wp:posOffset>7097395</wp:posOffset>
              </wp:positionH>
              <wp:positionV relativeFrom="page">
                <wp:posOffset>10203180</wp:posOffset>
              </wp:positionV>
              <wp:extent cx="565785" cy="191770"/>
              <wp:effectExtent l="1270" t="1905"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0EBCEF5D" w14:textId="77777777" w:rsidR="00E2377D" w:rsidRPr="00961880" w:rsidRDefault="00E2377D" w:rsidP="00E2377D">
                          <w:pPr>
                            <w:pBdr>
                              <w:top w:val="single" w:sz="4" w:space="1" w:color="7F7F7F"/>
                            </w:pBdr>
                            <w:jc w:val="center"/>
                            <w:rPr>
                              <w:sz w:val="20"/>
                              <w:lang w:val="nl-NL"/>
                            </w:rPr>
                          </w:pPr>
                          <w:r w:rsidRPr="00961880">
                            <w:rPr>
                              <w:sz w:val="20"/>
                              <w:lang w:val="nl-NL"/>
                            </w:rPr>
                            <w:fldChar w:fldCharType="begin"/>
                          </w:r>
                          <w:r w:rsidRPr="00961880">
                            <w:rPr>
                              <w:sz w:val="20"/>
                              <w:lang w:val="nl-NL"/>
                            </w:rPr>
                            <w:instrText xml:space="preserve"> PAGE   \* MERGEFORMAT </w:instrText>
                          </w:r>
                          <w:r w:rsidRPr="00961880">
                            <w:rPr>
                              <w:sz w:val="20"/>
                              <w:lang w:val="nl-NL"/>
                            </w:rPr>
                            <w:fldChar w:fldCharType="separate"/>
                          </w:r>
                          <w:r w:rsidR="00433E7D" w:rsidRPr="00433E7D">
                            <w:rPr>
                              <w:sz w:val="20"/>
                            </w:rPr>
                            <w:t>2</w:t>
                          </w:r>
                          <w:r w:rsidRPr="00961880">
                            <w:rPr>
                              <w:sz w:val="20"/>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070AFF5" id="Rectangle 1" o:spid="_x0000_s1026" style="position:absolute;margin-left:558.85pt;margin-top:803.4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" filled="f" fillcolor="#c0504d" stroked="f" strokecolor="#4f81bd" strokeweight="2.25pt">
              <v:textbox inset=",0,,0">
                <w:txbxContent>
                  <w:p w14:paraId="0EBCEF5D" w14:textId="77777777" w:rsidR="00E2377D" w:rsidRPr="00961880" w:rsidRDefault="00E2377D" w:rsidP="00E2377D">
                    <w:pPr>
                      <w:pBdr>
                        <w:top w:val="single" w:sz="4" w:space="1" w:color="7F7F7F"/>
                      </w:pBdr>
                      <w:jc w:val="center"/>
                      <w:rPr>
                        <w:sz w:val="20"/>
                        <w:lang w:val="nl-NL"/>
                      </w:rPr>
                    </w:pPr>
                    <w:r w:rsidRPr="00961880">
                      <w:rPr>
                        <w:sz w:val="20"/>
                        <w:lang w:val="nl-NL"/>
                      </w:rPr>
                      <w:fldChar w:fldCharType="begin"/>
                    </w:r>
                    <w:r w:rsidRPr="00961880">
                      <w:rPr>
                        <w:sz w:val="20"/>
                        <w:lang w:val="nl-NL"/>
                      </w:rPr>
                      <w:instrText xml:space="preserve"> PAGE   \* MERGEFORMAT </w:instrText>
                    </w:r>
                    <w:r w:rsidRPr="00961880">
                      <w:rPr>
                        <w:sz w:val="20"/>
                        <w:lang w:val="nl-NL"/>
                      </w:rPr>
                      <w:fldChar w:fldCharType="separate"/>
                    </w:r>
                    <w:r w:rsidR="00433E7D" w:rsidRPr="00433E7D">
                      <w:rPr>
                        <w:sz w:val="20"/>
                      </w:rPr>
                      <w:t>2</w:t>
                    </w:r>
                    <w:r w:rsidRPr="00961880">
                      <w:rPr>
                        <w:sz w:val="20"/>
                        <w:lang w:val="nl-NL"/>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16E28" w14:textId="77777777" w:rsidR="00A850D6" w:rsidRDefault="00A850D6" w:rsidP="00961880">
      <w:r>
        <w:separator/>
      </w:r>
    </w:p>
  </w:footnote>
  <w:footnote w:type="continuationSeparator" w:id="0">
    <w:p w14:paraId="2FDCD1C5" w14:textId="77777777" w:rsidR="00A850D6" w:rsidRDefault="00A850D6" w:rsidP="00961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B729E"/>
    <w:multiLevelType w:val="hybridMultilevel"/>
    <w:tmpl w:val="934899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476125"/>
    <w:multiLevelType w:val="hybridMultilevel"/>
    <w:tmpl w:val="B4001282"/>
    <w:lvl w:ilvl="0" w:tplc="7320049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445211"/>
    <w:multiLevelType w:val="hybridMultilevel"/>
    <w:tmpl w:val="263AF78C"/>
    <w:lvl w:ilvl="0" w:tplc="4D9A874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6E07A8F"/>
    <w:multiLevelType w:val="multilevel"/>
    <w:tmpl w:val="037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D68E0"/>
    <w:multiLevelType w:val="hybridMultilevel"/>
    <w:tmpl w:val="2BCA488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7BC3190"/>
    <w:multiLevelType w:val="hybridMultilevel"/>
    <w:tmpl w:val="869EB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7A2B06"/>
    <w:multiLevelType w:val="hybridMultilevel"/>
    <w:tmpl w:val="55D09E86"/>
    <w:lvl w:ilvl="0" w:tplc="E214BBD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160AF"/>
    <w:multiLevelType w:val="hybridMultilevel"/>
    <w:tmpl w:val="DB10B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1E7719"/>
    <w:multiLevelType w:val="multilevel"/>
    <w:tmpl w:val="78C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A0670"/>
    <w:multiLevelType w:val="hybridMultilevel"/>
    <w:tmpl w:val="53F8E7C6"/>
    <w:lvl w:ilvl="0" w:tplc="4D9A874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AD0620B"/>
    <w:multiLevelType w:val="hybridMultilevel"/>
    <w:tmpl w:val="E2101A38"/>
    <w:lvl w:ilvl="0" w:tplc="B2981C3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5"/>
  </w:num>
  <w:num w:numId="2">
    <w:abstractNumId w:val="0"/>
  </w:num>
  <w:num w:numId="3">
    <w:abstractNumId w:val="7"/>
  </w:num>
  <w:num w:numId="4">
    <w:abstractNumId w:val="6"/>
  </w:num>
  <w:num w:numId="5">
    <w:abstractNumId w:val="1"/>
  </w:num>
  <w:num w:numId="6">
    <w:abstractNumId w:val="10"/>
  </w:num>
  <w:num w:numId="7">
    <w:abstractNumId w:val="4"/>
  </w:num>
  <w:num w:numId="8">
    <w:abstractNumId w:val="9"/>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CA"/>
    <w:rsid w:val="00011520"/>
    <w:rsid w:val="00015710"/>
    <w:rsid w:val="00023182"/>
    <w:rsid w:val="00025A6D"/>
    <w:rsid w:val="00070914"/>
    <w:rsid w:val="000905C7"/>
    <w:rsid w:val="000A20DE"/>
    <w:rsid w:val="000B2B9D"/>
    <w:rsid w:val="000D2403"/>
    <w:rsid w:val="000E4416"/>
    <w:rsid w:val="000E7779"/>
    <w:rsid w:val="001007F7"/>
    <w:rsid w:val="001143AD"/>
    <w:rsid w:val="001257BE"/>
    <w:rsid w:val="001271FB"/>
    <w:rsid w:val="00155E78"/>
    <w:rsid w:val="001639B3"/>
    <w:rsid w:val="0018403B"/>
    <w:rsid w:val="00194F24"/>
    <w:rsid w:val="001C312F"/>
    <w:rsid w:val="001D0A91"/>
    <w:rsid w:val="001D203C"/>
    <w:rsid w:val="001D4E04"/>
    <w:rsid w:val="001F0B88"/>
    <w:rsid w:val="001F52F7"/>
    <w:rsid w:val="00206335"/>
    <w:rsid w:val="00207C59"/>
    <w:rsid w:val="00207DC7"/>
    <w:rsid w:val="00210175"/>
    <w:rsid w:val="00216084"/>
    <w:rsid w:val="0021645A"/>
    <w:rsid w:val="0022046D"/>
    <w:rsid w:val="00264F85"/>
    <w:rsid w:val="0027667E"/>
    <w:rsid w:val="00282FA8"/>
    <w:rsid w:val="002966E5"/>
    <w:rsid w:val="002A0689"/>
    <w:rsid w:val="002D531A"/>
    <w:rsid w:val="002D7241"/>
    <w:rsid w:val="002E0D82"/>
    <w:rsid w:val="003150BC"/>
    <w:rsid w:val="00336528"/>
    <w:rsid w:val="00343203"/>
    <w:rsid w:val="00347392"/>
    <w:rsid w:val="0037418E"/>
    <w:rsid w:val="00376891"/>
    <w:rsid w:val="00380014"/>
    <w:rsid w:val="00384B98"/>
    <w:rsid w:val="00392FBA"/>
    <w:rsid w:val="00393A7E"/>
    <w:rsid w:val="003C0E10"/>
    <w:rsid w:val="003C2C51"/>
    <w:rsid w:val="003E52A6"/>
    <w:rsid w:val="003E64C2"/>
    <w:rsid w:val="003F08BD"/>
    <w:rsid w:val="003F36ED"/>
    <w:rsid w:val="00405330"/>
    <w:rsid w:val="00423605"/>
    <w:rsid w:val="004261A5"/>
    <w:rsid w:val="00433E7D"/>
    <w:rsid w:val="0043447C"/>
    <w:rsid w:val="0044395D"/>
    <w:rsid w:val="00456323"/>
    <w:rsid w:val="004615E5"/>
    <w:rsid w:val="00462DE1"/>
    <w:rsid w:val="004672C8"/>
    <w:rsid w:val="00476A5E"/>
    <w:rsid w:val="00477649"/>
    <w:rsid w:val="004B5E7B"/>
    <w:rsid w:val="004D5D55"/>
    <w:rsid w:val="004E3FC9"/>
    <w:rsid w:val="004E5AD6"/>
    <w:rsid w:val="00507830"/>
    <w:rsid w:val="005110AD"/>
    <w:rsid w:val="00534FDD"/>
    <w:rsid w:val="005373E5"/>
    <w:rsid w:val="00537CC3"/>
    <w:rsid w:val="005414F6"/>
    <w:rsid w:val="0059572B"/>
    <w:rsid w:val="0059582A"/>
    <w:rsid w:val="005A46AF"/>
    <w:rsid w:val="005C3525"/>
    <w:rsid w:val="005D3233"/>
    <w:rsid w:val="005F0E5F"/>
    <w:rsid w:val="005F69CB"/>
    <w:rsid w:val="005F6ED1"/>
    <w:rsid w:val="006054E3"/>
    <w:rsid w:val="0061248A"/>
    <w:rsid w:val="00637796"/>
    <w:rsid w:val="00652CE2"/>
    <w:rsid w:val="0066514B"/>
    <w:rsid w:val="00666E63"/>
    <w:rsid w:val="00675DA5"/>
    <w:rsid w:val="00692F4F"/>
    <w:rsid w:val="006B1BED"/>
    <w:rsid w:val="006B6618"/>
    <w:rsid w:val="006C10F8"/>
    <w:rsid w:val="006C1E89"/>
    <w:rsid w:val="006C4F25"/>
    <w:rsid w:val="006D6160"/>
    <w:rsid w:val="006F7806"/>
    <w:rsid w:val="0070637D"/>
    <w:rsid w:val="0071229D"/>
    <w:rsid w:val="00734002"/>
    <w:rsid w:val="00736FD7"/>
    <w:rsid w:val="00741F99"/>
    <w:rsid w:val="007554F5"/>
    <w:rsid w:val="0075591E"/>
    <w:rsid w:val="00764925"/>
    <w:rsid w:val="007756F5"/>
    <w:rsid w:val="007761B4"/>
    <w:rsid w:val="007C332B"/>
    <w:rsid w:val="007E0BBC"/>
    <w:rsid w:val="00827820"/>
    <w:rsid w:val="00850B51"/>
    <w:rsid w:val="008636F0"/>
    <w:rsid w:val="00877071"/>
    <w:rsid w:val="00890B8E"/>
    <w:rsid w:val="008A22CF"/>
    <w:rsid w:val="008A5AE8"/>
    <w:rsid w:val="008B6842"/>
    <w:rsid w:val="008D46CD"/>
    <w:rsid w:val="008E7AE0"/>
    <w:rsid w:val="008F1813"/>
    <w:rsid w:val="00902C2A"/>
    <w:rsid w:val="00917899"/>
    <w:rsid w:val="0092198C"/>
    <w:rsid w:val="00933DD7"/>
    <w:rsid w:val="00944593"/>
    <w:rsid w:val="00952503"/>
    <w:rsid w:val="00961880"/>
    <w:rsid w:val="00986730"/>
    <w:rsid w:val="00991172"/>
    <w:rsid w:val="0099194F"/>
    <w:rsid w:val="00991DC4"/>
    <w:rsid w:val="009A26B0"/>
    <w:rsid w:val="009B4399"/>
    <w:rsid w:val="009E12B1"/>
    <w:rsid w:val="009E2661"/>
    <w:rsid w:val="009E6AF1"/>
    <w:rsid w:val="00A00493"/>
    <w:rsid w:val="00A214EA"/>
    <w:rsid w:val="00A25036"/>
    <w:rsid w:val="00A3146B"/>
    <w:rsid w:val="00A408E4"/>
    <w:rsid w:val="00A47888"/>
    <w:rsid w:val="00A6588B"/>
    <w:rsid w:val="00A75466"/>
    <w:rsid w:val="00A82CDE"/>
    <w:rsid w:val="00A850D6"/>
    <w:rsid w:val="00A90B22"/>
    <w:rsid w:val="00A96DEF"/>
    <w:rsid w:val="00A97704"/>
    <w:rsid w:val="00AA0AD9"/>
    <w:rsid w:val="00AB15B3"/>
    <w:rsid w:val="00AB51EE"/>
    <w:rsid w:val="00AB5B02"/>
    <w:rsid w:val="00AB7B8E"/>
    <w:rsid w:val="00AC5219"/>
    <w:rsid w:val="00AC6E2E"/>
    <w:rsid w:val="00AC769D"/>
    <w:rsid w:val="00AE52A3"/>
    <w:rsid w:val="00AF71AB"/>
    <w:rsid w:val="00B103A7"/>
    <w:rsid w:val="00B1627A"/>
    <w:rsid w:val="00B17E3F"/>
    <w:rsid w:val="00B22DFC"/>
    <w:rsid w:val="00B60924"/>
    <w:rsid w:val="00B63ACA"/>
    <w:rsid w:val="00B63E4C"/>
    <w:rsid w:val="00B7333F"/>
    <w:rsid w:val="00B7773B"/>
    <w:rsid w:val="00B777F4"/>
    <w:rsid w:val="00B77C62"/>
    <w:rsid w:val="00B81D73"/>
    <w:rsid w:val="00B90F5C"/>
    <w:rsid w:val="00B93748"/>
    <w:rsid w:val="00BB30C5"/>
    <w:rsid w:val="00BB3269"/>
    <w:rsid w:val="00BC3648"/>
    <w:rsid w:val="00BE1830"/>
    <w:rsid w:val="00C105E8"/>
    <w:rsid w:val="00C201DC"/>
    <w:rsid w:val="00C251FD"/>
    <w:rsid w:val="00C2578E"/>
    <w:rsid w:val="00C26C00"/>
    <w:rsid w:val="00C26C34"/>
    <w:rsid w:val="00C3427B"/>
    <w:rsid w:val="00C37413"/>
    <w:rsid w:val="00C4070C"/>
    <w:rsid w:val="00C41A68"/>
    <w:rsid w:val="00C45DBF"/>
    <w:rsid w:val="00C619E6"/>
    <w:rsid w:val="00C6704F"/>
    <w:rsid w:val="00C674CE"/>
    <w:rsid w:val="00C83D87"/>
    <w:rsid w:val="00C97854"/>
    <w:rsid w:val="00CA0EE9"/>
    <w:rsid w:val="00CB288F"/>
    <w:rsid w:val="00CB72F1"/>
    <w:rsid w:val="00CC6531"/>
    <w:rsid w:val="00CE21BD"/>
    <w:rsid w:val="00D0428B"/>
    <w:rsid w:val="00D13901"/>
    <w:rsid w:val="00D23891"/>
    <w:rsid w:val="00D27BB0"/>
    <w:rsid w:val="00D36713"/>
    <w:rsid w:val="00D60419"/>
    <w:rsid w:val="00D660A4"/>
    <w:rsid w:val="00D67FC8"/>
    <w:rsid w:val="00D70966"/>
    <w:rsid w:val="00D817A7"/>
    <w:rsid w:val="00DA6D3C"/>
    <w:rsid w:val="00DB5BBB"/>
    <w:rsid w:val="00DB5D09"/>
    <w:rsid w:val="00DC3746"/>
    <w:rsid w:val="00E2377D"/>
    <w:rsid w:val="00E434C1"/>
    <w:rsid w:val="00E445DC"/>
    <w:rsid w:val="00E52BC5"/>
    <w:rsid w:val="00E566AB"/>
    <w:rsid w:val="00E735D0"/>
    <w:rsid w:val="00E81066"/>
    <w:rsid w:val="00E90D57"/>
    <w:rsid w:val="00EA4247"/>
    <w:rsid w:val="00EB29E7"/>
    <w:rsid w:val="00EB2BA1"/>
    <w:rsid w:val="00EC0B4F"/>
    <w:rsid w:val="00ED2920"/>
    <w:rsid w:val="00ED656E"/>
    <w:rsid w:val="00EE5849"/>
    <w:rsid w:val="00F232DF"/>
    <w:rsid w:val="00F26813"/>
    <w:rsid w:val="00F3779F"/>
    <w:rsid w:val="00F523A4"/>
    <w:rsid w:val="00F558F4"/>
    <w:rsid w:val="00F64588"/>
    <w:rsid w:val="00F70E26"/>
    <w:rsid w:val="00F710AF"/>
    <w:rsid w:val="00F72E11"/>
    <w:rsid w:val="00F73D6F"/>
    <w:rsid w:val="00F84FBC"/>
    <w:rsid w:val="00F91FC7"/>
    <w:rsid w:val="00F94B42"/>
    <w:rsid w:val="00F978EB"/>
    <w:rsid w:val="00FA1271"/>
    <w:rsid w:val="00FA40A5"/>
    <w:rsid w:val="00FD6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38788"/>
  <w15:docId w15:val="{7305DADA-51A4-4F5A-B782-5ED53BE3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3ACA"/>
    <w:rPr>
      <w:rFonts w:eastAsia="Times New Roman" w:cs="Times New Roman"/>
      <w:noProof/>
      <w:sz w:val="24"/>
      <w:szCs w:val="20"/>
    </w:rPr>
  </w:style>
  <w:style w:type="paragraph" w:styleId="Kop1">
    <w:name w:val="heading 1"/>
    <w:basedOn w:val="Standaard"/>
    <w:next w:val="Standaard"/>
    <w:link w:val="Kop1Char"/>
    <w:uiPriority w:val="9"/>
    <w:qFormat/>
    <w:rsid w:val="000115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qFormat/>
    <w:rsid w:val="00B63ACA"/>
    <w:pPr>
      <w:keepNext/>
      <w:jc w:val="both"/>
      <w:outlineLvl w:val="2"/>
    </w:pPr>
    <w:rPr>
      <w:i/>
      <w:iCs/>
      <w:sz w:val="22"/>
      <w:lang w:val="fr-FR"/>
    </w:rPr>
  </w:style>
  <w:style w:type="paragraph" w:styleId="Kop4">
    <w:name w:val="heading 4"/>
    <w:basedOn w:val="Standaard"/>
    <w:next w:val="Standaard"/>
    <w:link w:val="Kop4Char"/>
    <w:qFormat/>
    <w:rsid w:val="00B63ACA"/>
    <w:pPr>
      <w:keepNext/>
      <w:jc w:val="both"/>
      <w:outlineLvl w:val="3"/>
    </w:pPr>
    <w:rPr>
      <w:b/>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B63ACA"/>
    <w:rPr>
      <w:rFonts w:eastAsia="Times New Roman" w:cs="Times New Roman"/>
      <w:i/>
      <w:iCs/>
      <w:noProof/>
      <w:szCs w:val="20"/>
      <w:lang w:val="fr-FR"/>
    </w:rPr>
  </w:style>
  <w:style w:type="character" w:customStyle="1" w:styleId="Kop4Char">
    <w:name w:val="Kop 4 Char"/>
    <w:basedOn w:val="Standaardalinea-lettertype"/>
    <w:link w:val="Kop4"/>
    <w:rsid w:val="00B63ACA"/>
    <w:rPr>
      <w:rFonts w:eastAsia="Times New Roman" w:cs="Times New Roman"/>
      <w:b/>
      <w:noProof/>
      <w:szCs w:val="20"/>
      <w:lang w:val="nl-NL"/>
    </w:rPr>
  </w:style>
  <w:style w:type="paragraph" w:styleId="Voettekst">
    <w:name w:val="footer"/>
    <w:basedOn w:val="Standaard"/>
    <w:link w:val="VoettekstChar"/>
    <w:semiHidden/>
    <w:rsid w:val="00B63ACA"/>
    <w:pPr>
      <w:tabs>
        <w:tab w:val="center" w:pos="4153"/>
        <w:tab w:val="right" w:pos="8306"/>
      </w:tabs>
    </w:pPr>
  </w:style>
  <w:style w:type="character" w:customStyle="1" w:styleId="VoettekstChar">
    <w:name w:val="Voettekst Char"/>
    <w:basedOn w:val="Standaardalinea-lettertype"/>
    <w:link w:val="Voettekst"/>
    <w:semiHidden/>
    <w:rsid w:val="00B63ACA"/>
    <w:rPr>
      <w:rFonts w:eastAsia="Times New Roman" w:cs="Times New Roman"/>
      <w:noProof/>
      <w:sz w:val="24"/>
      <w:szCs w:val="20"/>
    </w:rPr>
  </w:style>
  <w:style w:type="character" w:styleId="Paginanummer">
    <w:name w:val="page number"/>
    <w:basedOn w:val="Standaardalinea-lettertype"/>
    <w:semiHidden/>
    <w:rsid w:val="00B63ACA"/>
  </w:style>
  <w:style w:type="paragraph" w:styleId="Tekstopmerking">
    <w:name w:val="annotation text"/>
    <w:basedOn w:val="Standaard"/>
    <w:link w:val="TekstopmerkingChar"/>
    <w:semiHidden/>
    <w:rsid w:val="00B63ACA"/>
    <w:rPr>
      <w:sz w:val="20"/>
    </w:rPr>
  </w:style>
  <w:style w:type="character" w:customStyle="1" w:styleId="TekstopmerkingChar">
    <w:name w:val="Tekst opmerking Char"/>
    <w:basedOn w:val="Standaardalinea-lettertype"/>
    <w:link w:val="Tekstopmerking"/>
    <w:semiHidden/>
    <w:rsid w:val="00B63ACA"/>
    <w:rPr>
      <w:rFonts w:eastAsia="Times New Roman" w:cs="Times New Roman"/>
      <w:noProof/>
      <w:sz w:val="20"/>
      <w:szCs w:val="20"/>
    </w:rPr>
  </w:style>
  <w:style w:type="paragraph" w:styleId="Plattetekst2">
    <w:name w:val="Body Text 2"/>
    <w:basedOn w:val="Standaard"/>
    <w:link w:val="Plattetekst2Char"/>
    <w:semiHidden/>
    <w:rsid w:val="00B63ACA"/>
    <w:pPr>
      <w:jc w:val="both"/>
    </w:pPr>
    <w:rPr>
      <w:sz w:val="22"/>
      <w:lang w:val="nl-NL"/>
    </w:rPr>
  </w:style>
  <w:style w:type="character" w:customStyle="1" w:styleId="Plattetekst2Char">
    <w:name w:val="Platte tekst 2 Char"/>
    <w:basedOn w:val="Standaardalinea-lettertype"/>
    <w:link w:val="Plattetekst2"/>
    <w:semiHidden/>
    <w:rsid w:val="00B63ACA"/>
    <w:rPr>
      <w:rFonts w:eastAsia="Times New Roman" w:cs="Times New Roman"/>
      <w:noProof/>
      <w:szCs w:val="20"/>
      <w:lang w:val="nl-NL"/>
    </w:rPr>
  </w:style>
  <w:style w:type="paragraph" w:styleId="Koptekst">
    <w:name w:val="header"/>
    <w:basedOn w:val="Standaard"/>
    <w:link w:val="KoptekstChar"/>
    <w:uiPriority w:val="99"/>
    <w:semiHidden/>
    <w:unhideWhenUsed/>
    <w:rsid w:val="00961880"/>
    <w:pPr>
      <w:tabs>
        <w:tab w:val="center" w:pos="4513"/>
        <w:tab w:val="right" w:pos="9026"/>
      </w:tabs>
    </w:pPr>
  </w:style>
  <w:style w:type="character" w:customStyle="1" w:styleId="KoptekstChar">
    <w:name w:val="Koptekst Char"/>
    <w:basedOn w:val="Standaardalinea-lettertype"/>
    <w:link w:val="Koptekst"/>
    <w:uiPriority w:val="99"/>
    <w:semiHidden/>
    <w:rsid w:val="00961880"/>
    <w:rPr>
      <w:rFonts w:eastAsia="Times New Roman" w:cs="Times New Roman"/>
      <w:noProof/>
      <w:sz w:val="24"/>
      <w:szCs w:val="20"/>
    </w:rPr>
  </w:style>
  <w:style w:type="paragraph" w:styleId="Lijstalinea">
    <w:name w:val="List Paragraph"/>
    <w:basedOn w:val="Standaard"/>
    <w:uiPriority w:val="34"/>
    <w:qFormat/>
    <w:rsid w:val="005414F6"/>
    <w:pPr>
      <w:ind w:left="720"/>
      <w:contextualSpacing/>
    </w:pPr>
  </w:style>
  <w:style w:type="character" w:customStyle="1" w:styleId="Kop1Char">
    <w:name w:val="Kop 1 Char"/>
    <w:basedOn w:val="Standaardalinea-lettertype"/>
    <w:link w:val="Kop1"/>
    <w:uiPriority w:val="9"/>
    <w:rsid w:val="00011520"/>
    <w:rPr>
      <w:rFonts w:asciiTheme="majorHAnsi" w:eastAsiaTheme="majorEastAsia" w:hAnsiTheme="majorHAnsi" w:cstheme="majorBidi"/>
      <w:b/>
      <w:bCs/>
      <w:noProof/>
      <w:color w:val="365F91" w:themeColor="accent1" w:themeShade="BF"/>
      <w:sz w:val="28"/>
      <w:szCs w:val="28"/>
    </w:rPr>
  </w:style>
  <w:style w:type="paragraph" w:styleId="Ballontekst">
    <w:name w:val="Balloon Text"/>
    <w:basedOn w:val="Standaard"/>
    <w:link w:val="BallontekstChar"/>
    <w:uiPriority w:val="99"/>
    <w:semiHidden/>
    <w:unhideWhenUsed/>
    <w:rsid w:val="00F84F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4FBC"/>
    <w:rPr>
      <w:rFonts w:ascii="Segoe UI" w:eastAsia="Times New Roman" w:hAnsi="Segoe UI" w:cs="Segoe UI"/>
      <w:noProof/>
      <w:sz w:val="18"/>
      <w:szCs w:val="18"/>
    </w:rPr>
  </w:style>
  <w:style w:type="character" w:styleId="Zwaar">
    <w:name w:val="Strong"/>
    <w:basedOn w:val="Standaardalinea-lettertype"/>
    <w:uiPriority w:val="22"/>
    <w:qFormat/>
    <w:rsid w:val="008A5AE8"/>
    <w:rPr>
      <w:b/>
      <w:bCs/>
    </w:rPr>
  </w:style>
  <w:style w:type="character" w:styleId="Verwijzingopmerking">
    <w:name w:val="annotation reference"/>
    <w:basedOn w:val="Standaardalinea-lettertype"/>
    <w:uiPriority w:val="99"/>
    <w:semiHidden/>
    <w:unhideWhenUsed/>
    <w:rsid w:val="00944593"/>
    <w:rPr>
      <w:sz w:val="16"/>
      <w:szCs w:val="16"/>
    </w:rPr>
  </w:style>
  <w:style w:type="paragraph" w:styleId="Onderwerpvanopmerking">
    <w:name w:val="annotation subject"/>
    <w:basedOn w:val="Tekstopmerking"/>
    <w:next w:val="Tekstopmerking"/>
    <w:link w:val="OnderwerpvanopmerkingChar"/>
    <w:uiPriority w:val="99"/>
    <w:semiHidden/>
    <w:unhideWhenUsed/>
    <w:rsid w:val="00944593"/>
    <w:rPr>
      <w:b/>
      <w:bCs/>
    </w:rPr>
  </w:style>
  <w:style w:type="character" w:customStyle="1" w:styleId="OnderwerpvanopmerkingChar">
    <w:name w:val="Onderwerp van opmerking Char"/>
    <w:basedOn w:val="TekstopmerkingChar"/>
    <w:link w:val="Onderwerpvanopmerking"/>
    <w:uiPriority w:val="99"/>
    <w:semiHidden/>
    <w:rsid w:val="00944593"/>
    <w:rPr>
      <w:rFonts w:eastAsia="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663182">
      <w:bodyDiv w:val="1"/>
      <w:marLeft w:val="0"/>
      <w:marRight w:val="0"/>
      <w:marTop w:val="0"/>
      <w:marBottom w:val="0"/>
      <w:divBdr>
        <w:top w:val="none" w:sz="0" w:space="0" w:color="auto"/>
        <w:left w:val="none" w:sz="0" w:space="0" w:color="auto"/>
        <w:bottom w:val="none" w:sz="0" w:space="0" w:color="auto"/>
        <w:right w:val="none" w:sz="0" w:space="0" w:color="auto"/>
      </w:divBdr>
      <w:divsChild>
        <w:div w:id="803088030">
          <w:marLeft w:val="0"/>
          <w:marRight w:val="0"/>
          <w:marTop w:val="100"/>
          <w:marBottom w:val="100"/>
          <w:divBdr>
            <w:top w:val="none" w:sz="0" w:space="0" w:color="auto"/>
            <w:left w:val="none" w:sz="0" w:space="0" w:color="auto"/>
            <w:bottom w:val="none" w:sz="0" w:space="0" w:color="auto"/>
            <w:right w:val="none" w:sz="0" w:space="0" w:color="auto"/>
          </w:divBdr>
          <w:divsChild>
            <w:div w:id="566493826">
              <w:marLeft w:val="0"/>
              <w:marRight w:val="0"/>
              <w:marTop w:val="0"/>
              <w:marBottom w:val="0"/>
              <w:divBdr>
                <w:top w:val="none" w:sz="0" w:space="0" w:color="auto"/>
                <w:left w:val="none" w:sz="0" w:space="0" w:color="auto"/>
                <w:bottom w:val="none" w:sz="0" w:space="0" w:color="auto"/>
                <w:right w:val="none" w:sz="0" w:space="0" w:color="auto"/>
              </w:divBdr>
              <w:divsChild>
                <w:div w:id="1383941639">
                  <w:marLeft w:val="0"/>
                  <w:marRight w:val="0"/>
                  <w:marTop w:val="0"/>
                  <w:marBottom w:val="0"/>
                  <w:divBdr>
                    <w:top w:val="single" w:sz="6" w:space="0" w:color="CCCCCC"/>
                    <w:left w:val="single" w:sz="6" w:space="0" w:color="CCCCCC"/>
                    <w:bottom w:val="single" w:sz="6" w:space="0" w:color="CCCCCC"/>
                    <w:right w:val="single" w:sz="6" w:space="0" w:color="CCCCCC"/>
                  </w:divBdr>
                  <w:divsChild>
                    <w:div w:id="154419220">
                      <w:marLeft w:val="0"/>
                      <w:marRight w:val="0"/>
                      <w:marTop w:val="0"/>
                      <w:marBottom w:val="0"/>
                      <w:divBdr>
                        <w:top w:val="single" w:sz="6" w:space="0" w:color="E6E6E8"/>
                        <w:left w:val="single" w:sz="6" w:space="0" w:color="E6E6E8"/>
                        <w:bottom w:val="single" w:sz="6" w:space="0" w:color="E6E6E8"/>
                        <w:right w:val="single" w:sz="6" w:space="0" w:color="E6E6E8"/>
                      </w:divBdr>
                      <w:divsChild>
                        <w:div w:id="411977653">
                          <w:marLeft w:val="0"/>
                          <w:marRight w:val="0"/>
                          <w:marTop w:val="0"/>
                          <w:marBottom w:val="0"/>
                          <w:divBdr>
                            <w:top w:val="single" w:sz="6" w:space="23" w:color="D1D1D1"/>
                            <w:left w:val="none" w:sz="0" w:space="0" w:color="auto"/>
                            <w:bottom w:val="none" w:sz="0" w:space="0" w:color="auto"/>
                            <w:right w:val="none" w:sz="0" w:space="0" w:color="auto"/>
                          </w:divBdr>
                          <w:divsChild>
                            <w:div w:id="273365474">
                              <w:marLeft w:val="0"/>
                              <w:marRight w:val="0"/>
                              <w:marTop w:val="0"/>
                              <w:marBottom w:val="0"/>
                              <w:divBdr>
                                <w:top w:val="none" w:sz="0" w:space="0" w:color="auto"/>
                                <w:left w:val="none" w:sz="0" w:space="0" w:color="auto"/>
                                <w:bottom w:val="none" w:sz="0" w:space="0" w:color="auto"/>
                                <w:right w:val="none" w:sz="0" w:space="0" w:color="auto"/>
                              </w:divBdr>
                            </w:div>
                            <w:div w:id="10325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11436">
      <w:bodyDiv w:val="1"/>
      <w:marLeft w:val="0"/>
      <w:marRight w:val="0"/>
      <w:marTop w:val="0"/>
      <w:marBottom w:val="0"/>
      <w:divBdr>
        <w:top w:val="none" w:sz="0" w:space="0" w:color="auto"/>
        <w:left w:val="none" w:sz="0" w:space="0" w:color="auto"/>
        <w:bottom w:val="none" w:sz="0" w:space="0" w:color="auto"/>
        <w:right w:val="none" w:sz="0" w:space="0" w:color="auto"/>
      </w:divBdr>
    </w:div>
    <w:div w:id="872770728">
      <w:bodyDiv w:val="1"/>
      <w:marLeft w:val="0"/>
      <w:marRight w:val="0"/>
      <w:marTop w:val="0"/>
      <w:marBottom w:val="0"/>
      <w:divBdr>
        <w:top w:val="none" w:sz="0" w:space="0" w:color="auto"/>
        <w:left w:val="none" w:sz="0" w:space="0" w:color="auto"/>
        <w:bottom w:val="none" w:sz="0" w:space="0" w:color="auto"/>
        <w:right w:val="none" w:sz="0" w:space="0" w:color="auto"/>
      </w:divBdr>
    </w:div>
    <w:div w:id="1031371894">
      <w:bodyDiv w:val="1"/>
      <w:marLeft w:val="0"/>
      <w:marRight w:val="0"/>
      <w:marTop w:val="0"/>
      <w:marBottom w:val="0"/>
      <w:divBdr>
        <w:top w:val="none" w:sz="0" w:space="0" w:color="auto"/>
        <w:left w:val="none" w:sz="0" w:space="0" w:color="auto"/>
        <w:bottom w:val="none" w:sz="0" w:space="0" w:color="auto"/>
        <w:right w:val="none" w:sz="0" w:space="0" w:color="auto"/>
      </w:divBdr>
    </w:div>
    <w:div w:id="1694651846">
      <w:bodyDiv w:val="1"/>
      <w:marLeft w:val="0"/>
      <w:marRight w:val="0"/>
      <w:marTop w:val="0"/>
      <w:marBottom w:val="0"/>
      <w:divBdr>
        <w:top w:val="none" w:sz="0" w:space="0" w:color="auto"/>
        <w:left w:val="none" w:sz="0" w:space="0" w:color="auto"/>
        <w:bottom w:val="none" w:sz="0" w:space="0" w:color="auto"/>
        <w:right w:val="none" w:sz="0" w:space="0" w:color="auto"/>
      </w:divBdr>
    </w:div>
    <w:div w:id="1837307481">
      <w:bodyDiv w:val="1"/>
      <w:marLeft w:val="0"/>
      <w:marRight w:val="0"/>
      <w:marTop w:val="0"/>
      <w:marBottom w:val="0"/>
      <w:divBdr>
        <w:top w:val="none" w:sz="0" w:space="0" w:color="auto"/>
        <w:left w:val="none" w:sz="0" w:space="0" w:color="auto"/>
        <w:bottom w:val="none" w:sz="0" w:space="0" w:color="auto"/>
        <w:right w:val="none" w:sz="0" w:space="0" w:color="auto"/>
      </w:divBdr>
      <w:divsChild>
        <w:div w:id="1906455725">
          <w:marLeft w:val="0"/>
          <w:marRight w:val="0"/>
          <w:marTop w:val="100"/>
          <w:marBottom w:val="100"/>
          <w:divBdr>
            <w:top w:val="none" w:sz="0" w:space="0" w:color="auto"/>
            <w:left w:val="none" w:sz="0" w:space="0" w:color="auto"/>
            <w:bottom w:val="none" w:sz="0" w:space="0" w:color="auto"/>
            <w:right w:val="none" w:sz="0" w:space="0" w:color="auto"/>
          </w:divBdr>
          <w:divsChild>
            <w:div w:id="516043425">
              <w:marLeft w:val="0"/>
              <w:marRight w:val="0"/>
              <w:marTop w:val="0"/>
              <w:marBottom w:val="0"/>
              <w:divBdr>
                <w:top w:val="none" w:sz="0" w:space="0" w:color="auto"/>
                <w:left w:val="none" w:sz="0" w:space="0" w:color="auto"/>
                <w:bottom w:val="none" w:sz="0" w:space="0" w:color="auto"/>
                <w:right w:val="none" w:sz="0" w:space="0" w:color="auto"/>
              </w:divBdr>
              <w:divsChild>
                <w:div w:id="1056582383">
                  <w:marLeft w:val="0"/>
                  <w:marRight w:val="0"/>
                  <w:marTop w:val="0"/>
                  <w:marBottom w:val="0"/>
                  <w:divBdr>
                    <w:top w:val="single" w:sz="6" w:space="0" w:color="CCCCCC"/>
                    <w:left w:val="single" w:sz="6" w:space="0" w:color="CCCCCC"/>
                    <w:bottom w:val="single" w:sz="6" w:space="0" w:color="CCCCCC"/>
                    <w:right w:val="single" w:sz="6" w:space="0" w:color="CCCCCC"/>
                  </w:divBdr>
                  <w:divsChild>
                    <w:div w:id="734086734">
                      <w:marLeft w:val="0"/>
                      <w:marRight w:val="0"/>
                      <w:marTop w:val="0"/>
                      <w:marBottom w:val="0"/>
                      <w:divBdr>
                        <w:top w:val="single" w:sz="6" w:space="0" w:color="E6E6E8"/>
                        <w:left w:val="single" w:sz="6" w:space="0" w:color="E6E6E8"/>
                        <w:bottom w:val="single" w:sz="6" w:space="0" w:color="E6E6E8"/>
                        <w:right w:val="single" w:sz="6" w:space="0" w:color="E6E6E8"/>
                      </w:divBdr>
                      <w:divsChild>
                        <w:div w:id="1071276197">
                          <w:marLeft w:val="0"/>
                          <w:marRight w:val="0"/>
                          <w:marTop w:val="0"/>
                          <w:marBottom w:val="0"/>
                          <w:divBdr>
                            <w:top w:val="single" w:sz="6" w:space="23" w:color="D1D1D1"/>
                            <w:left w:val="none" w:sz="0" w:space="0" w:color="auto"/>
                            <w:bottom w:val="none" w:sz="0" w:space="0" w:color="auto"/>
                            <w:right w:val="none" w:sz="0" w:space="0" w:color="auto"/>
                          </w:divBdr>
                          <w:divsChild>
                            <w:div w:id="784689595">
                              <w:marLeft w:val="0"/>
                              <w:marRight w:val="0"/>
                              <w:marTop w:val="0"/>
                              <w:marBottom w:val="0"/>
                              <w:divBdr>
                                <w:top w:val="none" w:sz="0" w:space="0" w:color="auto"/>
                                <w:left w:val="none" w:sz="0" w:space="0" w:color="auto"/>
                                <w:bottom w:val="none" w:sz="0" w:space="0" w:color="auto"/>
                                <w:right w:val="none" w:sz="0" w:space="0" w:color="auto"/>
                              </w:divBdr>
                            </w:div>
                            <w:div w:id="138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AMS_x0020_Adres xmlns="e1d0883a-1848-41d4-948a-4de575274242" xsi:nil="true"/>
    <ExtraNet_x0020_Publish xmlns="e1d0883a-1848-41d4-948a-4de575274242">false</ExtraNet_x0020_Publish>
    <Regio xmlns="e1d0883a-1848-41d4-948a-4de575274242" xsi:nil="true"/>
    <Onderwerp xmlns="e1d0883a-1848-41d4-948a-4de575274242" xsi:nil="true"/>
    <Sleutelwoord xmlns="e1d0883a-1848-41d4-948a-4de575274242">permanente vorming; opleidingskosten; rijbewijs </Sleutelwoord>
    <ExtraNet_x0020_PDF xmlns="e1d0883a-1848-41d4-948a-4de575274242">false</ExtraNet_x0020_PDF>
    <Opmerking xmlns="e1d0883a-1848-41d4-948a-4de575274242">neergelegd op 03/12/2014 - geregistreerd op 03/03/2015
registratienr. 125616/CO/140
KB 10/08/2015 - BS 01/09/2015</Opmerking>
    <SAMS_x0020_Dossier xmlns="e1d0883a-1848-41d4-948a-4de575274242" xsi:nil="true"/>
    <ExtraNet_x0020_Recht xmlns="e1d0883a-1848-41d4-948a-4de5752742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99C1F8F8FB3645825638BB90EDE94A" ma:contentTypeVersion="0" ma:contentTypeDescription="Create a new document." ma:contentTypeScope="" ma:versionID="d3418b98eaaa97e7f57f0c0da181708d">
  <xsd:schema xmlns:xsd="http://www.w3.org/2001/XMLSchema" xmlns:p="http://schemas.microsoft.com/office/2006/metadata/properties" xmlns:ns2="e1d0883a-1848-41d4-948a-4de575274242" targetNamespace="http://schemas.microsoft.com/office/2006/metadata/properties" ma:root="true" ma:fieldsID="0acc495c20e1e5280634d1bfea1f8527" ns2:_="">
    <xsd:import namespace="e1d0883a-1848-41d4-948a-4de575274242"/>
    <xsd:element name="properties">
      <xsd:complexType>
        <xsd:sequence>
          <xsd:element name="documentManagement">
            <xsd:complexType>
              <xsd:all>
                <xsd:element ref="ns2:Sleutelwoord" minOccurs="0"/>
                <xsd:element ref="ns2:Regio" minOccurs="0"/>
                <xsd:element ref="ns2:Opmerking" minOccurs="0"/>
                <xsd:element ref="ns2:Onderwerp" minOccurs="0"/>
                <xsd:element ref="ns2:SAMS_x0020_Adres" minOccurs="0"/>
                <xsd:element ref="ns2:SAMS_x0020_Dossier" minOccurs="0"/>
                <xsd:element ref="ns2:ExtraNet_x0020_PDF" minOccurs="0"/>
                <xsd:element ref="ns2:ExtraNet_x0020_Publish" minOccurs="0"/>
                <xsd:element ref="ns2:ExtraNet_x0020_Recht" minOccurs="0"/>
              </xsd:all>
            </xsd:complexType>
          </xsd:element>
        </xsd:sequence>
      </xsd:complexType>
    </xsd:element>
  </xsd:schema>
  <xsd:schema xmlns:xsd="http://www.w3.org/2001/XMLSchema" xmlns:dms="http://schemas.microsoft.com/office/2006/documentManagement/types" targetNamespace="e1d0883a-1848-41d4-948a-4de575274242" elementFormDefault="qualified">
    <xsd:import namespace="http://schemas.microsoft.com/office/2006/documentManagement/types"/>
    <xsd:element name="Sleutelwoord" ma:index="2" nillable="true" ma:displayName="Sleutelwoord" ma:description="Vul één of meerdere sleutelwoorden in." ma:internalName="Sleutelwoord">
      <xsd:simpleType>
        <xsd:restriction base="dms:Text">
          <xsd:maxLength value="255"/>
        </xsd:restriction>
      </xsd:simpleType>
    </xsd:element>
    <xsd:element name="Regio" ma:index="3" nillable="true" ma:displayName="Regio" ma:list="{5eeadedf-dfc4-4446-bc3d-02c6b645ed50}" ma:internalName="Regio" ma:showField="Title" ma:web="e1d0883a-1848-41d4-948a-4de575274242">
      <xsd:simpleType>
        <xsd:restriction base="dms:Lookup"/>
      </xsd:simpleType>
    </xsd:element>
    <xsd:element name="Opmerking" ma:index="4" nillable="true" ma:displayName="Opmerking" ma:internalName="Opmerking">
      <xsd:simpleType>
        <xsd:restriction base="dms:Note"/>
      </xsd:simpleType>
    </xsd:element>
    <xsd:element name="Onderwerp" ma:index="5" nillable="true" ma:displayName="Onderwerp" ma:list="{98774efd-9ea7-4dda-9296-aaabf7ec4f2a}" ma:internalName="Onderwerp" ma:showField="Title" ma:web="e1d0883a-1848-41d4-948a-4de575274242">
      <xsd:simpleType>
        <xsd:restriction base="dms:Lookup"/>
      </xsd:simpleType>
    </xsd:element>
    <xsd:element name="SAMS_x0020_Adres" ma:index="12" nillable="true" ma:displayName="SAMS Adres" ma:list="{8b793593-f586-4fee-9363-04e54327f679}" ma:internalName="SAMS_x0020_Adres" ma:showField="Title" ma:web="e1d0883a-1848-41d4-948a-4de575274242">
      <xsd:simpleType>
        <xsd:restriction base="dms:Lookup"/>
      </xsd:simpleType>
    </xsd:element>
    <xsd:element name="SAMS_x0020_Dossier" ma:index="13" nillable="true" ma:displayName="SAMS Dossier" ma:list="{462cbe85-333b-4952-8d75-248b79507255}" ma:internalName="SAMS_x0020_Dossier" ma:showField="Title" ma:web="e1d0883a-1848-41d4-948a-4de575274242">
      <xsd:simpleType>
        <xsd:restriction base="dms:Lookup"/>
      </xsd:simpleType>
    </xsd:element>
    <xsd:element name="ExtraNet_x0020_PDF" ma:index="14" nillable="true" ma:displayName="ExtraNet PDF" ma:default="0" ma:internalName="ExtraNet_x0020_PDF">
      <xsd:simpleType>
        <xsd:restriction base="dms:Boolean"/>
      </xsd:simpleType>
    </xsd:element>
    <xsd:element name="ExtraNet_x0020_Publish" ma:index="15" nillable="true" ma:displayName="ExtraNet Publish" ma:default="0" ma:internalName="ExtraNet_x0020_Publish">
      <xsd:simpleType>
        <xsd:restriction base="dms:Boolean"/>
      </xsd:simpleType>
    </xsd:element>
    <xsd:element name="ExtraNet_x0020_Recht" ma:index="16" nillable="true" ma:displayName="ExtraNet Recht" ma:list="{5f0bd32a-b20f-4de3-8225-1c91ced6f0ca}" ma:internalName="ExtraNet_x0020_Recht" ma:showField="Title" ma:web="e1d0883a-1848-41d4-948a-4de57527424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898E3-0C6F-4B2D-A241-6C482DBA14D0}">
  <ds:schemaRefs>
    <ds:schemaRef ds:uri="http://schemas.microsoft.com/sharepoint/v3/contenttype/forms"/>
  </ds:schemaRefs>
</ds:datastoreItem>
</file>

<file path=customXml/itemProps2.xml><?xml version="1.0" encoding="utf-8"?>
<ds:datastoreItem xmlns:ds="http://schemas.openxmlformats.org/officeDocument/2006/customXml" ds:itemID="{63659B1D-4955-4D38-B0E8-7F1CBA6F23EF}">
  <ds:schemaRefs>
    <ds:schemaRef ds:uri="http://schemas.microsoft.com/office/2006/metadata/properties"/>
    <ds:schemaRef ds:uri="e1d0883a-1848-41d4-948a-4de575274242"/>
  </ds:schemaRefs>
</ds:datastoreItem>
</file>

<file path=customXml/itemProps3.xml><?xml version="1.0" encoding="utf-8"?>
<ds:datastoreItem xmlns:ds="http://schemas.openxmlformats.org/officeDocument/2006/customXml" ds:itemID="{3766E1C2-3682-4456-A7BE-D11977566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0883a-1848-41d4-948a-4de57527424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69CCC6-D5BC-4D64-BFB8-3B6EC5D4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6938</Characters>
  <Application>Microsoft Office Word</Application>
  <DocSecurity>0</DocSecurity>
  <Lines>57</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Rijbewijs - CAO 20-11-2014 tussenkomst opleidingskosten rijbewijs en beroepskwalificatie C</vt:lpstr>
      <vt:lpstr>Rijbewijs - CAO 20-11-2014 tussenkomst opleidingskosten rijbewijs en beroepskwalificatie C</vt:lpstr>
      <vt:lpstr>Rijbewijs - CAO 20-11-2014 tussenkomst opleidingskosten rijbewijs en beroepskwalificatie C</vt:lpstr>
    </vt:vector>
  </TitlesOfParts>
  <Company>ACV-CSC</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Rijbewijs - CAO 20-11-2014 tussenkomst opleidingskosten rijbewijs en beroepskwalificatie C</dc:title>
  <dc:creator>kja</dc:creator>
  <cp:lastModifiedBy>VERBRUGGEN Frank</cp:lastModifiedBy>
  <cp:revision>2</cp:revision>
  <cp:lastPrinted>2021-11-22T04:41:00Z</cp:lastPrinted>
  <dcterms:created xsi:type="dcterms:W3CDTF">2021-11-28T13:48:00Z</dcterms:created>
  <dcterms:modified xsi:type="dcterms:W3CDTF">2021-11-28T13:48:00Z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0x010100F199C1F8F8FB3645825638BB90EDE94A</vt:lpwstr>
  </property>
</Properties>
</file>