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0E" w:rsidRPr="00F4460E" w:rsidRDefault="00F4460E" w:rsidP="00F4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DECLARATION EXPERIENCE PROFESSIONNELLE EMPLOY</w:t>
      </w:r>
      <w:r w:rsidR="00720E6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</w:t>
      </w:r>
      <w:r w:rsidR="002C7D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(E)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Je soussigné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(nom et prénom)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confirme à :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(dénomination de l’entreprise)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……………...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.……..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Default="00720E6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avoir le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expériences professionnelles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énumérées ci-dessous conformément à la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convention collective de travail du </w:t>
      </w:r>
      <w:r w:rsidR="00A37F68" w:rsidRPr="00A37F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21 décembre 2017 relative aux barèmes basés sur l’expérience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conclue 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au sein de la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Commission paritaire </w:t>
      </w:r>
      <w:r w:rsidR="00A37F68" w:rsidRPr="00A37F6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employés de l'industrie et du commerce du pétrole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(CP 2</w:t>
      </w:r>
      <w:r w:rsidR="00A37F68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ce, </w:t>
      </w:r>
      <w:r w:rsidR="002E5DE1" w:rsidRP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 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>moment de mon entrée en service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AA5F94" w:rsidTr="00AA5F94">
        <w:tc>
          <w:tcPr>
            <w:tcW w:w="6799" w:type="dxa"/>
          </w:tcPr>
          <w:p w:rsidR="009240D5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bookmarkStart w:id="0" w:name="_Hlk52434046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Périodes de prestations professionnelles</w:t>
            </w:r>
            <w:r w:rsidR="00924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5F465F" w:rsidRPr="005F46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Belgique </w:t>
            </w:r>
            <w:r w:rsidR="005F46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</w:t>
            </w:r>
            <w:r w:rsidR="005F465F" w:rsidRPr="005F46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autre Etat</w:t>
            </w:r>
            <w:r w:rsidR="00924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</w:p>
          <w:p w:rsidR="00AA5F94" w:rsidRPr="00582858" w:rsidRDefault="009240D5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AA5F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2977" w:type="dxa"/>
          </w:tcPr>
          <w:p w:rsidR="00AA5F94" w:rsidRPr="00582858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 joints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</w:tbl>
    <w:p w:rsidR="00EA4F01" w:rsidRDefault="00EA4F01" w:rsidP="0025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EA4F01" w:rsidTr="004E2733">
        <w:tc>
          <w:tcPr>
            <w:tcW w:w="6799" w:type="dxa"/>
          </w:tcPr>
          <w:p w:rsidR="00EA4F01" w:rsidRPr="00582858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Périodes </w:t>
            </w:r>
            <w:r w:rsidR="008300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assimilées</w:t>
            </w:r>
            <w:r w:rsidR="005F46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5F465F" w:rsidRPr="005F46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Belgique </w:t>
            </w:r>
            <w:r w:rsidR="005F46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</w:t>
            </w:r>
            <w:r w:rsidR="005F465F" w:rsidRPr="005F46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autre Etat</w:t>
            </w:r>
            <w:r w:rsidR="005F46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  <w:r w:rsidR="008300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2977" w:type="dxa"/>
          </w:tcPr>
          <w:p w:rsidR="00EA4F01" w:rsidRPr="00B759AF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join</w:t>
            </w:r>
            <w:r w:rsidR="008D51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B759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D510F" w:rsidRDefault="008D510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8D510F" w:rsidRPr="00A3533F" w:rsidTr="004E2733">
        <w:tc>
          <w:tcPr>
            <w:tcW w:w="6799" w:type="dxa"/>
          </w:tcPr>
          <w:p w:rsidR="008D510F" w:rsidRDefault="008D510F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 d’expérience professionnelle ni assimilation</w:t>
            </w:r>
            <w:r w:rsidR="009E6E1C" w:rsidRPr="009E6E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2977" w:type="dxa"/>
          </w:tcPr>
          <w:p w:rsidR="008D510F" w:rsidRDefault="008D510F" w:rsidP="0025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1364A" w:rsidRPr="00A3533F" w:rsidTr="004E2733">
        <w:tc>
          <w:tcPr>
            <w:tcW w:w="6799" w:type="dxa"/>
          </w:tcPr>
          <w:p w:rsidR="0021364A" w:rsidRPr="0021364A" w:rsidRDefault="0021364A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Diplôme obtenu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BE"/>
              </w:rPr>
              <w:t xml:space="preserve"> </w:t>
            </w:r>
            <w:r w:rsidRPr="0021364A">
              <w:rPr>
                <w:lang w:val="fr-BE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durée théorique d'étude)</w:t>
            </w:r>
            <w:r w:rsidRPr="002136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BE"/>
              </w:rPr>
              <w:t>5</w:t>
            </w:r>
          </w:p>
        </w:tc>
        <w:tc>
          <w:tcPr>
            <w:tcW w:w="2977" w:type="dxa"/>
          </w:tcPr>
          <w:p w:rsidR="0021364A" w:rsidRDefault="0021364A" w:rsidP="0025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83007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Je certifie que la présente déclaration est exacte, sincère et permettra de déterminer la rémunération minimale à laquelle j’ai droit au moment de mon engagement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582858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Par conséquent, je reconnais être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tenu au dédommagement de ……………(dénomination de l’entreprise)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tout préjudice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subi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résultant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d’information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inexacte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 ou manquantes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Fait à ………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……………, le …………………………20</w:t>
      </w:r>
      <w:r w:rsid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…..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07517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signature de l’employé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</w:p>
    <w:p w:rsidR="004E2733" w:rsidRDefault="004E2733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5133F" w:rsidRPr="00E615E6" w:rsidRDefault="00E615E6" w:rsidP="00E61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fr-FR"/>
        </w:rPr>
      </w:pP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D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ans les plus brefs délais après l’entrée en service </w:t>
      </w:r>
      <w:r w:rsidR="009E6E1C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de </w:t>
      </w:r>
      <w:r w:rsidR="009E6E1C" w:rsidRPr="00D1451F">
        <w:rPr>
          <w:rFonts w:ascii="Times New Roman" w:eastAsia="Times New Roman" w:hAnsi="Times New Roman" w:cs="Times New Roman"/>
          <w:sz w:val="20"/>
          <w:szCs w:val="24"/>
          <w:lang w:val="fr-FR"/>
        </w:rPr>
        <w:t>l’employé(e)</w:t>
      </w:r>
      <w:r w:rsidR="009E6E1C">
        <w:rPr>
          <w:rFonts w:ascii="Times New Roman" w:eastAsia="Times New Roman" w:hAnsi="Times New Roman" w:cs="Times New Roman"/>
          <w:sz w:val="20"/>
          <w:szCs w:val="24"/>
          <w:lang w:val="fr-FR"/>
        </w:rPr>
        <w:t>,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l’employeur doit faire parvenir ce document complété et signé à son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Payroll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Advisor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. A défaut, le Group S ne pourra être tenu responsable de l’application d’une rémunération minimum erronée.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r w:rsidR="0025133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br w:type="page"/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L'expérience professionnelle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recouvre :</w:t>
      </w:r>
      <w:r w:rsidR="00A34D4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A34D45" w:rsidRPr="00A34D45" w:rsidRDefault="00A34D45" w:rsidP="00A34D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34D45">
        <w:rPr>
          <w:rFonts w:ascii="Times New Roman" w:eastAsia="Times New Roman" w:hAnsi="Times New Roman" w:cs="Times New Roman"/>
          <w:sz w:val="24"/>
          <w:szCs w:val="24"/>
          <w:lang w:val="fr-FR"/>
        </w:rPr>
        <w:t>chaque expérience professionnelle acquise dans d'autres entreprises ressortissant à la Commission paritaire n° 211, 117, 207 et 116;</w:t>
      </w:r>
    </w:p>
    <w:p w:rsidR="00A34D45" w:rsidRPr="00A34D45" w:rsidRDefault="00A34D45" w:rsidP="00A34D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34D45">
        <w:rPr>
          <w:rFonts w:ascii="Times New Roman" w:eastAsia="Times New Roman" w:hAnsi="Times New Roman" w:cs="Times New Roman"/>
          <w:sz w:val="24"/>
          <w:szCs w:val="24"/>
          <w:lang w:val="fr-FR"/>
        </w:rPr>
        <w:t>chaque expérience professionnelle pertinente acquise en dehors des entreprises visées sous a. comme salarié, indépendant, volontaire ou fonctionnaire sous statut.</w:t>
      </w:r>
    </w:p>
    <w:p w:rsidR="0025133F" w:rsidRDefault="0025133F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Il n'est pas fait de distinction entre les prestations à temps plein ou à temps partiel pour l'octroi des années d'expérience.</w:t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P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assimilées à l'expérience :</w:t>
      </w:r>
    </w:p>
    <w:p w:rsidR="00C90933" w:rsidRPr="00C90933" w:rsidRDefault="00C90933" w:rsidP="00C9093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0933">
        <w:rPr>
          <w:rFonts w:ascii="Times New Roman" w:eastAsia="Times New Roman" w:hAnsi="Times New Roman" w:cs="Times New Roman"/>
          <w:sz w:val="24"/>
          <w:szCs w:val="24"/>
          <w:lang w:val="fr-FR"/>
        </w:rPr>
        <w:t>les périodes de suspension pour accident de travail et maladie professionnelle, congés thématiques, grossesse ou congé prophylactique;</w:t>
      </w:r>
    </w:p>
    <w:p w:rsidR="00C90933" w:rsidRPr="00C90933" w:rsidRDefault="00C90933" w:rsidP="00C9093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09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périodes ininterrompues de suspension complète pour la même maladie ou le même accident </w:t>
      </w:r>
      <w:r w:rsidRPr="00C9093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avec un maximum de 3 ans</w:t>
      </w:r>
      <w:r w:rsidRPr="00C90933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C90933" w:rsidRPr="00C90933" w:rsidRDefault="00C90933" w:rsidP="00C9093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90933">
        <w:rPr>
          <w:rFonts w:ascii="Times New Roman" w:eastAsia="Times New Roman" w:hAnsi="Times New Roman" w:cs="Times New Roman"/>
          <w:sz w:val="24"/>
          <w:szCs w:val="24"/>
          <w:lang w:val="fr-FR"/>
        </w:rPr>
        <w:t>les périodes de suspension complète pour crédits-temps pour des raisons autres que thématiques, avec un maximum égal à la période couverte par son allocation sociale.</w:t>
      </w:r>
    </w:p>
    <w:p w:rsidR="00C90933" w:rsidRPr="00C90933" w:rsidRDefault="00C90933" w:rsidP="00C9093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C9093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 périodes de chômage complet indemnisé et de stage d'attente </w:t>
      </w:r>
      <w:r w:rsidRPr="00C9093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avec un maximum de 3 ans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globalisés ;</w:t>
      </w:r>
    </w:p>
    <w:p w:rsidR="00582858" w:rsidRDefault="00C90933" w:rsidP="00C9093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C90933">
        <w:rPr>
          <w:rFonts w:ascii="Times New Roman" w:eastAsia="Times New Roman" w:hAnsi="Times New Roman" w:cs="Times New Roman"/>
          <w:sz w:val="24"/>
          <w:szCs w:val="24"/>
          <w:lang w:val="fr-FR"/>
        </w:rPr>
        <w:t>a période de service militaire.</w:t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454E0" w:rsidRDefault="002454E0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!! </w:t>
      </w:r>
      <w:r w:rsidRPr="002454E0">
        <w:rPr>
          <w:rFonts w:ascii="Times New Roman" w:eastAsia="Times New Roman" w:hAnsi="Times New Roman" w:cs="Times New Roman"/>
          <w:sz w:val="24"/>
          <w:szCs w:val="24"/>
          <w:lang w:val="fr-FR"/>
        </w:rPr>
        <w:t>Pour la prise en compte de l'expérience professionnelle, aucune période d'assimilation ne peut être cumulée avec une période d'activité professionnelle ou une autre période d'assimilation.</w:t>
      </w:r>
    </w:p>
    <w:p w:rsidR="002454E0" w:rsidRDefault="002454E0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E1AF0" w:rsidRDefault="00582858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Documents probants à joindre à la présente déclaration :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attestation d’occupation, attestation d’affiliation à une caisse d’assurances sociales pour indépendants, déclaration d’occupation par une instance officielle, déclaration d’un 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rganisme de sécurité sociale,…</w:t>
      </w:r>
    </w:p>
    <w:p w:rsidR="00DE1AF0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E1AF0" w:rsidRPr="00582858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440F4">
        <w:rPr>
          <w:rFonts w:ascii="Times New Roman" w:eastAsia="Times New Roman" w:hAnsi="Times New Roman" w:cs="Times New Roman"/>
          <w:sz w:val="24"/>
          <w:szCs w:val="24"/>
          <w:lang w:val="fr-FR"/>
        </w:rPr>
        <w:t>A cocher en cas d’absence d’expérience professionnelle et d’assimilation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E1AF0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533F" w:rsidRPr="00A3533F" w:rsidRDefault="0021364A" w:rsidP="00A3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3533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533F"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>Les rémunérations de départ sont les rémunérations prévues dans le barème d'expérience pour 0 année d'expérience.</w:t>
      </w:r>
    </w:p>
    <w:p w:rsidR="00A3533F" w:rsidRDefault="00A3533F" w:rsidP="00A3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rémunération de départ pour le titulaire d'un diplôme pour une formation réussie de niveau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« </w:t>
      </w:r>
      <w:proofErr w:type="spellStart"/>
      <w:r w:rsidRPr="00A3533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bachelor</w:t>
      </w:r>
      <w:proofErr w:type="spellEnd"/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» est fixée au niveau 3 du barème d'expérience.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Lorsque le diplôme obtenu de niveau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« </w:t>
      </w:r>
      <w:proofErr w:type="spellStart"/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>bachelor</w:t>
      </w:r>
      <w:proofErr w:type="spellEnd"/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» requiert une durée théorique d'étude supérieure à 3 ans, il est alors tenu compte de cette durée normale d'étude, chaque année de formation complémentaire achevée donne droit à une année d'expérience supplémentaire avec un maximum de 5 années.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Si le travailleur n'atteint pas un tel niveau de formation « </w:t>
      </w:r>
      <w:proofErr w:type="spellStart"/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>bachelor</w:t>
      </w:r>
      <w:proofErr w:type="spellEnd"/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», le niveau d'expérience 0 est d'application.</w:t>
      </w:r>
    </w:p>
    <w:p w:rsidR="00A3533F" w:rsidRPr="00A3533F" w:rsidRDefault="00A3533F" w:rsidP="00A3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rémunération de départ pour le titulaire d'un diplôme pour une formation réussie de niveau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« </w:t>
      </w:r>
      <w:r w:rsidRPr="00A3533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master</w:t>
      </w: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» est fixée au niveau 4 du barème d'expérience.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Si le travailleur n'atteint pas un tel niveau de formation « master », le niveau d'expérience 3 est éventuellement d'application, si la formation réussie est du niveau « </w:t>
      </w:r>
      <w:proofErr w:type="spellStart"/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>bachelor</w:t>
      </w:r>
      <w:proofErr w:type="spellEnd"/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». Sinon, le niveau d'expérience 0 est d'application.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>Lorsque le diplôme obtenu de niveau « master » requiert une durée théorique d'étude supérieure à 4 ans, il est alors tenu compte de cette durée normale d'étude, chaque année de formation complémentaire achevée donne droit à une année d'expérience supplémentaire avec un maximum de 7 années.</w:t>
      </w:r>
    </w:p>
    <w:p w:rsidR="00A3533F" w:rsidRPr="00A3533F" w:rsidRDefault="00A3533F" w:rsidP="00A3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les travailleurs qui ne sont pas détenteurs d'un diplôme/certificat de Bachelier ou de Master, </w:t>
      </w:r>
      <w:r w:rsidRPr="00A3533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la formation professionnelle pertinente </w:t>
      </w: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>qui a abouti à l'octroi d'un diplôme ou certificat est prise en considération pour 3 années d'expérience.</w:t>
      </w:r>
    </w:p>
    <w:p w:rsidR="00A3533F" w:rsidRPr="00A3533F" w:rsidRDefault="00A3533F" w:rsidP="00A3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les travailleurs qui sont déjà détenteurs d'un diplôme/certificat pertinent, une </w:t>
      </w:r>
      <w:r w:rsidRPr="00A3533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formation professionnelle pertinente additionnelle</w:t>
      </w: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qui a abouti à l'octroi d'un diplôme ou certificat, est prise en considération comme une (1) année d'expérience supplémentaire.</w:t>
      </w:r>
    </w:p>
    <w:p w:rsidR="0021364A" w:rsidRPr="00DE1AF0" w:rsidRDefault="00A3533F" w:rsidP="00A35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3533F">
        <w:rPr>
          <w:rFonts w:ascii="Times New Roman" w:eastAsia="Times New Roman" w:hAnsi="Times New Roman" w:cs="Times New Roman"/>
          <w:sz w:val="24"/>
          <w:szCs w:val="24"/>
          <w:lang w:val="fr-FR"/>
        </w:rPr>
        <w:t>Pour l'acquisition des années d'expérience, aucun cumul n'est possible entre les périodes d'études et d'autres périodes d'expérience (« 1 mois est 1 mois »).</w:t>
      </w:r>
      <w:bookmarkStart w:id="1" w:name="_GoBack"/>
      <w:bookmarkEnd w:id="1"/>
    </w:p>
    <w:sectPr w:rsidR="0021364A" w:rsidRPr="00DE1AF0" w:rsidSect="00E615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940"/>
    <w:multiLevelType w:val="hybridMultilevel"/>
    <w:tmpl w:val="02B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673"/>
    <w:multiLevelType w:val="hybridMultilevel"/>
    <w:tmpl w:val="0046EA1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4E5A"/>
    <w:multiLevelType w:val="multilevel"/>
    <w:tmpl w:val="275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1359F"/>
    <w:multiLevelType w:val="hybridMultilevel"/>
    <w:tmpl w:val="D9A2C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84077"/>
    <w:multiLevelType w:val="hybridMultilevel"/>
    <w:tmpl w:val="9A18F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B35BD"/>
    <w:multiLevelType w:val="multilevel"/>
    <w:tmpl w:val="A4668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44B39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1DC4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33D9"/>
    <w:multiLevelType w:val="hybridMultilevel"/>
    <w:tmpl w:val="A1CC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C3C9E"/>
    <w:multiLevelType w:val="hybridMultilevel"/>
    <w:tmpl w:val="6B7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E"/>
    <w:rsid w:val="001B71DF"/>
    <w:rsid w:val="00205A19"/>
    <w:rsid w:val="0021364A"/>
    <w:rsid w:val="00225C9B"/>
    <w:rsid w:val="002454E0"/>
    <w:rsid w:val="0025133F"/>
    <w:rsid w:val="002568EA"/>
    <w:rsid w:val="002C7D28"/>
    <w:rsid w:val="002E590D"/>
    <w:rsid w:val="002E5DE1"/>
    <w:rsid w:val="003375AD"/>
    <w:rsid w:val="003721B2"/>
    <w:rsid w:val="003E27DC"/>
    <w:rsid w:val="00421A9C"/>
    <w:rsid w:val="004C100C"/>
    <w:rsid w:val="004E2733"/>
    <w:rsid w:val="00531E09"/>
    <w:rsid w:val="00582858"/>
    <w:rsid w:val="005F465F"/>
    <w:rsid w:val="00640EF0"/>
    <w:rsid w:val="006531D4"/>
    <w:rsid w:val="006B4D01"/>
    <w:rsid w:val="006E14C9"/>
    <w:rsid w:val="006F1191"/>
    <w:rsid w:val="00706430"/>
    <w:rsid w:val="00720E6F"/>
    <w:rsid w:val="0083007F"/>
    <w:rsid w:val="00837183"/>
    <w:rsid w:val="00892BE2"/>
    <w:rsid w:val="008D510F"/>
    <w:rsid w:val="009240D5"/>
    <w:rsid w:val="009E6E1C"/>
    <w:rsid w:val="00A16E80"/>
    <w:rsid w:val="00A34D45"/>
    <w:rsid w:val="00A3533F"/>
    <w:rsid w:val="00A37F68"/>
    <w:rsid w:val="00AA5F94"/>
    <w:rsid w:val="00B759AF"/>
    <w:rsid w:val="00BF126E"/>
    <w:rsid w:val="00BF2774"/>
    <w:rsid w:val="00C07517"/>
    <w:rsid w:val="00C13C8A"/>
    <w:rsid w:val="00C4306C"/>
    <w:rsid w:val="00C90933"/>
    <w:rsid w:val="00CD1CE6"/>
    <w:rsid w:val="00D63DD5"/>
    <w:rsid w:val="00DE1AF0"/>
    <w:rsid w:val="00E615E6"/>
    <w:rsid w:val="00EA4F01"/>
    <w:rsid w:val="00F4433F"/>
    <w:rsid w:val="00F4460E"/>
    <w:rsid w:val="00FB4DDD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5895"/>
  <w15:chartTrackingRefBased/>
  <w15:docId w15:val="{EF2A1F5E-19BF-405F-8413-9CFCA531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6E80"/>
    <w:pPr>
      <w:ind w:left="720"/>
      <w:contextualSpacing/>
    </w:pPr>
  </w:style>
  <w:style w:type="table" w:styleId="TableGrid">
    <w:name w:val="Table Grid"/>
    <w:basedOn w:val="TableNormal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B591D56E</Template>
  <TotalTime>133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Marta</dc:creator>
  <cp:keywords/>
  <dc:description/>
  <cp:lastModifiedBy>VAN DEN BRIL Virginie</cp:lastModifiedBy>
  <cp:revision>22</cp:revision>
  <dcterms:created xsi:type="dcterms:W3CDTF">2018-09-10T13:03:00Z</dcterms:created>
  <dcterms:modified xsi:type="dcterms:W3CDTF">2018-10-24T08:48:00Z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1222132104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Nathalie.WELLEMANS@groups.be</vt:lpwstr>
  </property>
  <property fmtid="{D5CDD505-2E9C-101B-9397-08002B2CF9AE}" pid="6" name="_AuthorEmailDisplayName">
    <vt:lpwstr>WELLEMANS Nathalie</vt:lpwstr>
  </property>
  <property fmtid="{D5CDD505-2E9C-101B-9397-08002B2CF9AE}" pid="7" name="_ReviewingToolsShownOnce">
    <vt:lpwstr/>
  </property>
</Properties>
</file>